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79B" w:rsidRDefault="0059479B" w:rsidP="0059479B">
      <w:pPr>
        <w:pStyle w:val="Heading1"/>
        <w:jc w:val="center"/>
        <w:rPr>
          <w:rFonts w:ascii="Arial" w:eastAsia="Tahoma" w:hAnsi="Arial" w:cs="Arial"/>
          <w:sz w:val="28"/>
          <w:szCs w:val="28"/>
        </w:rPr>
      </w:pPr>
      <w:r>
        <w:rPr>
          <w:rFonts w:ascii="Arial" w:hAnsi="Arial" w:cs="Arial"/>
          <w:sz w:val="28"/>
          <w:szCs w:val="28"/>
        </w:rPr>
        <w:t>FACILITIES, PLANNING &amp; ENVIRONMENTAL SAFETY</w:t>
      </w:r>
    </w:p>
    <w:p w:rsidR="0059479B" w:rsidRPr="0059479B" w:rsidRDefault="0059479B" w:rsidP="0059479B">
      <w:pPr>
        <w:pStyle w:val="Heading1"/>
        <w:jc w:val="center"/>
        <w:rPr>
          <w:rFonts w:ascii="Arial" w:hAnsi="Arial" w:cs="Arial"/>
          <w:b w:val="0"/>
          <w:sz w:val="24"/>
          <w:szCs w:val="24"/>
        </w:rPr>
      </w:pPr>
      <w:r w:rsidRPr="0059479B">
        <w:rPr>
          <w:rFonts w:ascii="Arial" w:hAnsi="Arial" w:cs="Arial"/>
          <w:sz w:val="24"/>
          <w:szCs w:val="24"/>
        </w:rPr>
        <w:t>FLEET OPERATIONS</w:t>
      </w:r>
    </w:p>
    <w:p w:rsidR="00EF61EA" w:rsidRPr="0059479B" w:rsidRDefault="0059479B" w:rsidP="0059479B">
      <w:pPr>
        <w:spacing w:before="6"/>
        <w:ind w:left="1260" w:right="1110"/>
        <w:jc w:val="center"/>
        <w:rPr>
          <w:rFonts w:ascii="Arial" w:hAnsi="Arial" w:cs="Arial"/>
          <w:b/>
          <w:sz w:val="24"/>
          <w:szCs w:val="24"/>
        </w:rPr>
      </w:pPr>
      <w:r>
        <w:rPr>
          <w:rFonts w:ascii="Arial" w:hAnsi="Arial" w:cs="Arial"/>
          <w:b/>
          <w:sz w:val="24"/>
          <w:szCs w:val="24"/>
        </w:rPr>
        <w:t xml:space="preserve">   </w:t>
      </w:r>
      <w:r w:rsidRPr="0059479B">
        <w:rPr>
          <w:rFonts w:ascii="Arial" w:hAnsi="Arial" w:cs="Arial"/>
          <w:b/>
          <w:sz w:val="24"/>
          <w:szCs w:val="24"/>
        </w:rPr>
        <w:t xml:space="preserve"> </w:t>
      </w:r>
      <w:r w:rsidR="00600BE6" w:rsidRPr="0059479B">
        <w:rPr>
          <w:rFonts w:ascii="Arial" w:hAnsi="Arial" w:cs="Arial"/>
          <w:b/>
          <w:sz w:val="24"/>
          <w:szCs w:val="24"/>
        </w:rPr>
        <w:t>ADMINISTRATIVE CHARGE FOR VEHICLE USAGE</w:t>
      </w:r>
    </w:p>
    <w:p w:rsidR="00EF61EA" w:rsidRPr="0059479B" w:rsidRDefault="0059479B" w:rsidP="0059479B">
      <w:pPr>
        <w:spacing w:line="206" w:lineRule="exact"/>
        <w:ind w:left="2520" w:right="1830" w:firstLine="450"/>
        <w:rPr>
          <w:rFonts w:ascii="Arial" w:hAnsi="Arial" w:cs="Arial"/>
          <w:b/>
          <w:sz w:val="24"/>
          <w:szCs w:val="24"/>
        </w:rPr>
      </w:pPr>
      <w:r>
        <w:rPr>
          <w:rFonts w:ascii="Arial" w:hAnsi="Arial" w:cs="Arial"/>
          <w:b/>
          <w:sz w:val="24"/>
          <w:szCs w:val="24"/>
        </w:rPr>
        <w:t xml:space="preserve">       </w:t>
      </w:r>
      <w:r w:rsidRPr="0059479B">
        <w:rPr>
          <w:rFonts w:ascii="Arial" w:hAnsi="Arial" w:cs="Arial"/>
          <w:b/>
          <w:sz w:val="24"/>
          <w:szCs w:val="24"/>
        </w:rPr>
        <w:t>PROCEDURE</w:t>
      </w:r>
      <w:r w:rsidR="00600BE6" w:rsidRPr="0059479B">
        <w:rPr>
          <w:rFonts w:ascii="Arial" w:hAnsi="Arial" w:cs="Arial"/>
          <w:b/>
          <w:sz w:val="24"/>
          <w:szCs w:val="24"/>
        </w:rPr>
        <w:t xml:space="preserve"> #F&amp;P-4830-15</w:t>
      </w:r>
    </w:p>
    <w:p w:rsidR="00EF61EA" w:rsidRPr="0059479B" w:rsidRDefault="0059479B">
      <w:pPr>
        <w:pStyle w:val="Heading1"/>
        <w:spacing w:before="68"/>
        <w:rPr>
          <w:rFonts w:ascii="Arial" w:hAnsi="Arial" w:cs="Arial"/>
          <w:sz w:val="24"/>
          <w:szCs w:val="24"/>
        </w:rPr>
      </w:pPr>
      <w:r w:rsidRPr="0059479B">
        <w:rPr>
          <w:rFonts w:ascii="Arial" w:hAnsi="Arial" w:cs="Arial"/>
          <w:sz w:val="24"/>
          <w:szCs w:val="24"/>
        </w:rPr>
        <w:t>PURPOSE</w:t>
      </w:r>
    </w:p>
    <w:p w:rsidR="00EF61EA" w:rsidRPr="0059479B" w:rsidRDefault="00600BE6">
      <w:pPr>
        <w:pStyle w:val="BodyText"/>
        <w:spacing w:before="59"/>
        <w:ind w:left="260" w:right="34"/>
        <w:rPr>
          <w:rFonts w:ascii="Arial" w:hAnsi="Arial" w:cs="Arial"/>
          <w:sz w:val="22"/>
          <w:szCs w:val="22"/>
        </w:rPr>
      </w:pPr>
      <w:r w:rsidRPr="0059479B">
        <w:rPr>
          <w:rFonts w:ascii="Arial" w:hAnsi="Arial" w:cs="Arial"/>
          <w:sz w:val="22"/>
          <w:szCs w:val="22"/>
        </w:rPr>
        <w:t>To provide a uniform policy statement and procedures to be utilized in charging for the use of University-owned/leased vehicles.</w:t>
      </w:r>
    </w:p>
    <w:p w:rsidR="00EF61EA" w:rsidRPr="0059479B" w:rsidRDefault="00EF61EA">
      <w:pPr>
        <w:pStyle w:val="BodyText"/>
        <w:spacing w:before="9"/>
        <w:rPr>
          <w:rFonts w:ascii="Arial" w:hAnsi="Arial" w:cs="Arial"/>
          <w:sz w:val="22"/>
          <w:szCs w:val="22"/>
        </w:rPr>
      </w:pPr>
    </w:p>
    <w:p w:rsidR="00EF61EA" w:rsidRPr="0059479B" w:rsidRDefault="0059479B">
      <w:pPr>
        <w:pStyle w:val="Heading1"/>
        <w:spacing w:before="0"/>
        <w:rPr>
          <w:rFonts w:ascii="Arial" w:hAnsi="Arial" w:cs="Arial"/>
          <w:sz w:val="24"/>
          <w:szCs w:val="24"/>
        </w:rPr>
      </w:pPr>
      <w:r w:rsidRPr="0059479B">
        <w:rPr>
          <w:rFonts w:ascii="Arial" w:hAnsi="Arial" w:cs="Arial"/>
          <w:sz w:val="24"/>
          <w:szCs w:val="24"/>
        </w:rPr>
        <w:t>OBJECTIVE</w:t>
      </w:r>
    </w:p>
    <w:p w:rsidR="00EF61EA" w:rsidRPr="0059479B" w:rsidRDefault="00600BE6">
      <w:pPr>
        <w:pStyle w:val="BodyText"/>
        <w:spacing w:before="60"/>
        <w:ind w:left="260"/>
        <w:rPr>
          <w:rFonts w:ascii="Arial" w:hAnsi="Arial" w:cs="Arial"/>
          <w:sz w:val="22"/>
          <w:szCs w:val="22"/>
        </w:rPr>
      </w:pPr>
      <w:r w:rsidRPr="0059479B">
        <w:rPr>
          <w:rFonts w:ascii="Arial" w:hAnsi="Arial" w:cs="Arial"/>
          <w:sz w:val="22"/>
          <w:szCs w:val="22"/>
        </w:rPr>
        <w:t>To establish a uniform system of "Charging Back" to the departments for the use of cars, vans and trucks.</w:t>
      </w:r>
    </w:p>
    <w:p w:rsidR="00EF61EA" w:rsidRPr="0059479B" w:rsidRDefault="00EF61EA">
      <w:pPr>
        <w:pStyle w:val="BodyText"/>
        <w:spacing w:before="6"/>
        <w:rPr>
          <w:rFonts w:ascii="Arial" w:hAnsi="Arial" w:cs="Arial"/>
          <w:sz w:val="22"/>
          <w:szCs w:val="22"/>
        </w:rPr>
      </w:pPr>
    </w:p>
    <w:p w:rsidR="00EF61EA" w:rsidRPr="0059479B" w:rsidRDefault="0059479B">
      <w:pPr>
        <w:pStyle w:val="Heading1"/>
        <w:rPr>
          <w:rFonts w:ascii="Arial" w:hAnsi="Arial" w:cs="Arial"/>
          <w:sz w:val="24"/>
          <w:szCs w:val="24"/>
        </w:rPr>
      </w:pPr>
      <w:r w:rsidRPr="0059479B">
        <w:rPr>
          <w:rFonts w:ascii="Arial" w:hAnsi="Arial" w:cs="Arial"/>
          <w:sz w:val="24"/>
          <w:szCs w:val="24"/>
        </w:rPr>
        <w:t>POLICY</w:t>
      </w:r>
    </w:p>
    <w:p w:rsidR="00EF61EA" w:rsidRPr="0059479B" w:rsidRDefault="00600BE6">
      <w:pPr>
        <w:pStyle w:val="BodyText"/>
        <w:spacing w:before="62"/>
        <w:ind w:left="260"/>
        <w:rPr>
          <w:rFonts w:ascii="Arial" w:hAnsi="Arial" w:cs="Arial"/>
          <w:sz w:val="22"/>
          <w:szCs w:val="22"/>
        </w:rPr>
      </w:pPr>
      <w:r w:rsidRPr="0059479B">
        <w:rPr>
          <w:rFonts w:ascii="Arial" w:hAnsi="Arial" w:cs="Arial"/>
          <w:sz w:val="22"/>
          <w:szCs w:val="22"/>
        </w:rPr>
        <w:t>Charges for the use of University-owned/leased vehicles, requested through the fleet operations, will be at the following rates (in accordance with federal and state regulations):</w:t>
      </w:r>
    </w:p>
    <w:p w:rsidR="00EF61EA" w:rsidRPr="0059479B" w:rsidRDefault="00EF61EA">
      <w:pPr>
        <w:pStyle w:val="BodyText"/>
        <w:rPr>
          <w:rFonts w:ascii="Arial" w:hAnsi="Arial" w:cs="Arial"/>
          <w:sz w:val="22"/>
          <w:szCs w:val="22"/>
        </w:rPr>
      </w:pPr>
    </w:p>
    <w:tbl>
      <w:tblPr>
        <w:tblW w:w="0" w:type="auto"/>
        <w:tblInd w:w="113" w:type="dxa"/>
        <w:tblLayout w:type="fixed"/>
        <w:tblCellMar>
          <w:left w:w="0" w:type="dxa"/>
          <w:right w:w="0" w:type="dxa"/>
        </w:tblCellMar>
        <w:tblLook w:val="01E0" w:firstRow="1" w:lastRow="1" w:firstColumn="1" w:lastColumn="1" w:noHBand="0" w:noVBand="0"/>
      </w:tblPr>
      <w:tblGrid>
        <w:gridCol w:w="441"/>
        <w:gridCol w:w="1303"/>
        <w:gridCol w:w="951"/>
        <w:gridCol w:w="6732"/>
      </w:tblGrid>
      <w:tr w:rsidR="00EF61EA" w:rsidRPr="0059479B" w:rsidTr="00140426">
        <w:trPr>
          <w:trHeight w:val="272"/>
        </w:trPr>
        <w:tc>
          <w:tcPr>
            <w:tcW w:w="1744" w:type="dxa"/>
            <w:gridSpan w:val="2"/>
          </w:tcPr>
          <w:p w:rsidR="00EF61EA" w:rsidRPr="0059479B" w:rsidRDefault="00600BE6">
            <w:pPr>
              <w:pStyle w:val="TableParagraph"/>
              <w:spacing w:line="242" w:lineRule="exact"/>
              <w:ind w:left="200"/>
              <w:rPr>
                <w:rFonts w:ascii="Arial" w:hAnsi="Arial" w:cs="Arial"/>
              </w:rPr>
            </w:pPr>
            <w:r w:rsidRPr="0059479B">
              <w:rPr>
                <w:rFonts w:ascii="Arial" w:hAnsi="Arial" w:cs="Arial"/>
              </w:rPr>
              <w:t>A. Cars - $.55</w:t>
            </w:r>
          </w:p>
        </w:tc>
        <w:tc>
          <w:tcPr>
            <w:tcW w:w="951" w:type="dxa"/>
          </w:tcPr>
          <w:p w:rsidR="00EF61EA" w:rsidRPr="0059479B" w:rsidRDefault="00600BE6">
            <w:pPr>
              <w:pStyle w:val="TableParagraph"/>
              <w:spacing w:line="242" w:lineRule="exact"/>
              <w:ind w:right="20"/>
              <w:jc w:val="right"/>
              <w:rPr>
                <w:rFonts w:ascii="Arial" w:hAnsi="Arial" w:cs="Arial"/>
              </w:rPr>
            </w:pPr>
            <w:r w:rsidRPr="0059479B">
              <w:rPr>
                <w:rFonts w:ascii="Arial" w:hAnsi="Arial" w:cs="Arial"/>
              </w:rPr>
              <w:t>per mile.</w:t>
            </w:r>
          </w:p>
        </w:tc>
        <w:tc>
          <w:tcPr>
            <w:tcW w:w="6732" w:type="dxa"/>
          </w:tcPr>
          <w:p w:rsidR="00EF61EA" w:rsidRPr="0059479B" w:rsidRDefault="00EF61EA">
            <w:pPr>
              <w:pStyle w:val="TableParagraph"/>
              <w:rPr>
                <w:rFonts w:ascii="Arial" w:hAnsi="Arial" w:cs="Arial"/>
              </w:rPr>
            </w:pPr>
          </w:p>
        </w:tc>
      </w:tr>
      <w:tr w:rsidR="00EF61EA" w:rsidRPr="0059479B" w:rsidTr="00140426">
        <w:trPr>
          <w:trHeight w:val="303"/>
        </w:trPr>
        <w:tc>
          <w:tcPr>
            <w:tcW w:w="1744" w:type="dxa"/>
            <w:gridSpan w:val="2"/>
          </w:tcPr>
          <w:p w:rsidR="00EF61EA" w:rsidRPr="0059479B" w:rsidRDefault="00600BE6">
            <w:pPr>
              <w:pStyle w:val="TableParagraph"/>
              <w:spacing w:before="29"/>
              <w:ind w:left="200"/>
              <w:rPr>
                <w:rFonts w:ascii="Arial" w:hAnsi="Arial" w:cs="Arial"/>
              </w:rPr>
            </w:pPr>
            <w:r w:rsidRPr="0059479B">
              <w:rPr>
                <w:rFonts w:ascii="Arial" w:hAnsi="Arial" w:cs="Arial"/>
              </w:rPr>
              <w:t>B. All Others -</w:t>
            </w:r>
          </w:p>
        </w:tc>
        <w:tc>
          <w:tcPr>
            <w:tcW w:w="951" w:type="dxa"/>
          </w:tcPr>
          <w:p w:rsidR="00EF61EA" w:rsidRPr="0059479B" w:rsidRDefault="00600BE6">
            <w:pPr>
              <w:pStyle w:val="TableParagraph"/>
              <w:spacing w:before="29"/>
              <w:ind w:right="46"/>
              <w:jc w:val="right"/>
              <w:rPr>
                <w:rFonts w:ascii="Arial" w:hAnsi="Arial" w:cs="Arial"/>
              </w:rPr>
            </w:pPr>
            <w:r w:rsidRPr="0059479B">
              <w:rPr>
                <w:rFonts w:ascii="Arial" w:hAnsi="Arial" w:cs="Arial"/>
              </w:rPr>
              <w:t>$.65 per</w:t>
            </w:r>
          </w:p>
        </w:tc>
        <w:tc>
          <w:tcPr>
            <w:tcW w:w="6732" w:type="dxa"/>
          </w:tcPr>
          <w:p w:rsidR="00EF61EA" w:rsidRPr="0059479B" w:rsidRDefault="00600BE6">
            <w:pPr>
              <w:pStyle w:val="TableParagraph"/>
              <w:spacing w:before="29"/>
              <w:ind w:left="23"/>
              <w:rPr>
                <w:rFonts w:ascii="Arial" w:hAnsi="Arial" w:cs="Arial"/>
              </w:rPr>
            </w:pPr>
            <w:r w:rsidRPr="0059479B">
              <w:rPr>
                <w:rFonts w:ascii="Arial" w:hAnsi="Arial" w:cs="Arial"/>
              </w:rPr>
              <w:t>mile.</w:t>
            </w:r>
          </w:p>
        </w:tc>
      </w:tr>
      <w:tr w:rsidR="00EF61EA" w:rsidRPr="0059479B" w:rsidTr="00140426">
        <w:trPr>
          <w:trHeight w:val="758"/>
        </w:trPr>
        <w:tc>
          <w:tcPr>
            <w:tcW w:w="441" w:type="dxa"/>
          </w:tcPr>
          <w:p w:rsidR="00EF61EA" w:rsidRPr="0059479B" w:rsidRDefault="00600BE6">
            <w:pPr>
              <w:pStyle w:val="TableParagraph"/>
              <w:spacing w:before="30"/>
              <w:ind w:left="200"/>
              <w:rPr>
                <w:rFonts w:ascii="Arial" w:hAnsi="Arial" w:cs="Arial"/>
              </w:rPr>
            </w:pPr>
            <w:r w:rsidRPr="0059479B">
              <w:rPr>
                <w:rFonts w:ascii="Arial" w:hAnsi="Arial" w:cs="Arial"/>
              </w:rPr>
              <w:t>C.</w:t>
            </w:r>
          </w:p>
        </w:tc>
        <w:tc>
          <w:tcPr>
            <w:tcW w:w="8986" w:type="dxa"/>
            <w:gridSpan w:val="3"/>
          </w:tcPr>
          <w:p w:rsidR="00EF61EA" w:rsidRPr="0059479B" w:rsidRDefault="00600BE6">
            <w:pPr>
              <w:pStyle w:val="TableParagraph"/>
              <w:spacing w:before="38" w:line="242" w:lineRule="exact"/>
              <w:ind w:left="30"/>
              <w:rPr>
                <w:rFonts w:ascii="Arial" w:hAnsi="Arial" w:cs="Arial"/>
              </w:rPr>
            </w:pPr>
            <w:r w:rsidRPr="0059479B">
              <w:rPr>
                <w:rFonts w:ascii="Arial" w:hAnsi="Arial" w:cs="Arial"/>
              </w:rPr>
              <w:t>Permanently assigned vehicles will have a direct chargeback to their department, monthly, for all types of work performed, i.e., tires, oil, gas, parts, labor, accident repairs, etc.</w:t>
            </w:r>
          </w:p>
        </w:tc>
      </w:tr>
    </w:tbl>
    <w:p w:rsidR="00EF61EA" w:rsidRPr="0059479B" w:rsidRDefault="00EF61EA">
      <w:pPr>
        <w:pStyle w:val="BodyText"/>
        <w:spacing w:before="4"/>
        <w:rPr>
          <w:rFonts w:ascii="Arial" w:hAnsi="Arial" w:cs="Arial"/>
          <w:sz w:val="22"/>
          <w:szCs w:val="22"/>
        </w:rPr>
      </w:pPr>
    </w:p>
    <w:p w:rsidR="00EF61EA" w:rsidRPr="0059479B" w:rsidRDefault="0059479B">
      <w:pPr>
        <w:pStyle w:val="Heading1"/>
        <w:rPr>
          <w:rFonts w:ascii="Arial" w:hAnsi="Arial" w:cs="Arial"/>
          <w:sz w:val="24"/>
          <w:szCs w:val="24"/>
        </w:rPr>
      </w:pPr>
      <w:r w:rsidRPr="0059479B">
        <w:rPr>
          <w:rFonts w:ascii="Arial" w:hAnsi="Arial" w:cs="Arial"/>
          <w:sz w:val="24"/>
          <w:szCs w:val="24"/>
        </w:rPr>
        <w:t>PROCEDURE</w:t>
      </w:r>
    </w:p>
    <w:tbl>
      <w:tblPr>
        <w:tblW w:w="0" w:type="auto"/>
        <w:tblInd w:w="113" w:type="dxa"/>
        <w:tblLayout w:type="fixed"/>
        <w:tblCellMar>
          <w:left w:w="0" w:type="dxa"/>
          <w:right w:w="0" w:type="dxa"/>
        </w:tblCellMar>
        <w:tblLook w:val="01E0" w:firstRow="1" w:lastRow="1" w:firstColumn="1" w:lastColumn="1" w:noHBand="0" w:noVBand="0"/>
      </w:tblPr>
      <w:tblGrid>
        <w:gridCol w:w="456"/>
        <w:gridCol w:w="8981"/>
      </w:tblGrid>
      <w:tr w:rsidR="00EF61EA" w:rsidRPr="0059479B">
        <w:trPr>
          <w:trHeight w:val="637"/>
        </w:trPr>
        <w:tc>
          <w:tcPr>
            <w:tcW w:w="456" w:type="dxa"/>
          </w:tcPr>
          <w:p w:rsidR="00EF61EA" w:rsidRPr="0059479B" w:rsidRDefault="00600BE6">
            <w:pPr>
              <w:pStyle w:val="TableParagraph"/>
              <w:spacing w:line="242" w:lineRule="exact"/>
              <w:ind w:right="44"/>
              <w:jc w:val="right"/>
              <w:rPr>
                <w:rFonts w:ascii="Arial" w:hAnsi="Arial" w:cs="Arial"/>
              </w:rPr>
            </w:pPr>
            <w:r w:rsidRPr="0059479B">
              <w:rPr>
                <w:rFonts w:ascii="Arial" w:hAnsi="Arial" w:cs="Arial"/>
                <w:w w:val="95"/>
              </w:rPr>
              <w:t>A.</w:t>
            </w:r>
          </w:p>
        </w:tc>
        <w:tc>
          <w:tcPr>
            <w:tcW w:w="8981" w:type="dxa"/>
          </w:tcPr>
          <w:p w:rsidR="00EF61EA" w:rsidRPr="0059479B" w:rsidRDefault="00600BE6">
            <w:pPr>
              <w:pStyle w:val="TableParagraph"/>
              <w:ind w:left="29" w:right="199"/>
              <w:rPr>
                <w:rFonts w:ascii="Arial" w:hAnsi="Arial" w:cs="Arial"/>
              </w:rPr>
            </w:pPr>
            <w:r w:rsidRPr="0059479B">
              <w:rPr>
                <w:rFonts w:ascii="Arial" w:hAnsi="Arial" w:cs="Arial"/>
              </w:rPr>
              <w:t>The determination that adequate funds are available for requested travel lies with the department Vice Presidents/Deans.</w:t>
            </w:r>
          </w:p>
        </w:tc>
      </w:tr>
      <w:tr w:rsidR="00EF61EA" w:rsidRPr="0059479B">
        <w:trPr>
          <w:trHeight w:val="1028"/>
        </w:trPr>
        <w:tc>
          <w:tcPr>
            <w:tcW w:w="456" w:type="dxa"/>
          </w:tcPr>
          <w:p w:rsidR="00EF61EA" w:rsidRPr="0059479B" w:rsidRDefault="00600BE6">
            <w:pPr>
              <w:pStyle w:val="TableParagraph"/>
              <w:spacing w:before="149"/>
              <w:ind w:right="44"/>
              <w:jc w:val="right"/>
              <w:rPr>
                <w:rFonts w:ascii="Arial" w:hAnsi="Arial" w:cs="Arial"/>
              </w:rPr>
            </w:pPr>
            <w:r w:rsidRPr="0059479B">
              <w:rPr>
                <w:rFonts w:ascii="Arial" w:hAnsi="Arial" w:cs="Arial"/>
                <w:w w:val="95"/>
              </w:rPr>
              <w:t>B.</w:t>
            </w:r>
          </w:p>
        </w:tc>
        <w:tc>
          <w:tcPr>
            <w:tcW w:w="8981" w:type="dxa"/>
          </w:tcPr>
          <w:p w:rsidR="00EF61EA" w:rsidRPr="0059479B" w:rsidRDefault="00600BE6">
            <w:pPr>
              <w:pStyle w:val="TableParagraph"/>
              <w:spacing w:before="149"/>
              <w:ind w:left="29" w:right="199"/>
              <w:rPr>
                <w:rFonts w:ascii="Arial" w:hAnsi="Arial" w:cs="Arial"/>
              </w:rPr>
            </w:pPr>
            <w:r w:rsidRPr="0059479B">
              <w:rPr>
                <w:rFonts w:ascii="Arial" w:hAnsi="Arial" w:cs="Arial"/>
              </w:rPr>
              <w:t>The Vice President and/or Dean, or a designee, for each department(s), will be responsible to ensure that the travel budget(s) that they are responsible for is/are updated as each request is approved to ensure available funds are current.</w:t>
            </w:r>
          </w:p>
        </w:tc>
      </w:tr>
      <w:tr w:rsidR="00EF61EA" w:rsidRPr="0059479B">
        <w:trPr>
          <w:trHeight w:val="1029"/>
        </w:trPr>
        <w:tc>
          <w:tcPr>
            <w:tcW w:w="456" w:type="dxa"/>
          </w:tcPr>
          <w:p w:rsidR="00EF61EA" w:rsidRPr="0059479B" w:rsidRDefault="00600BE6">
            <w:pPr>
              <w:pStyle w:val="TableParagraph"/>
              <w:spacing w:before="150"/>
              <w:ind w:right="42"/>
              <w:jc w:val="right"/>
              <w:rPr>
                <w:rFonts w:ascii="Arial" w:hAnsi="Arial" w:cs="Arial"/>
              </w:rPr>
            </w:pPr>
            <w:r w:rsidRPr="0059479B">
              <w:rPr>
                <w:rFonts w:ascii="Arial" w:hAnsi="Arial" w:cs="Arial"/>
                <w:w w:val="95"/>
              </w:rPr>
              <w:t>C.</w:t>
            </w:r>
          </w:p>
        </w:tc>
        <w:tc>
          <w:tcPr>
            <w:tcW w:w="8981" w:type="dxa"/>
          </w:tcPr>
          <w:p w:rsidR="00EF61EA" w:rsidRPr="0059479B" w:rsidRDefault="00600BE6">
            <w:pPr>
              <w:pStyle w:val="TableParagraph"/>
              <w:spacing w:before="150"/>
              <w:ind w:left="29" w:right="199"/>
              <w:rPr>
                <w:rFonts w:ascii="Arial" w:hAnsi="Arial" w:cs="Arial"/>
              </w:rPr>
            </w:pPr>
            <w:r w:rsidRPr="0059479B">
              <w:rPr>
                <w:rFonts w:ascii="Arial" w:hAnsi="Arial" w:cs="Arial"/>
              </w:rPr>
              <w:t>Departments with permanently assigned vehicles will need to have their monthly mileage forms reported (telephone) to Fleet Operations by the 5th of each month, so that reports can be computerized for accounting purposes by the 10th of each month.</w:t>
            </w:r>
          </w:p>
        </w:tc>
      </w:tr>
      <w:tr w:rsidR="00EF61EA" w:rsidRPr="0059479B" w:rsidTr="00140426">
        <w:trPr>
          <w:trHeight w:val="4373"/>
        </w:trPr>
        <w:tc>
          <w:tcPr>
            <w:tcW w:w="456" w:type="dxa"/>
          </w:tcPr>
          <w:p w:rsidR="00EF61EA" w:rsidRPr="0059479B" w:rsidRDefault="00600BE6">
            <w:pPr>
              <w:pStyle w:val="TableParagraph"/>
              <w:spacing w:before="150"/>
              <w:ind w:right="27"/>
              <w:jc w:val="right"/>
              <w:rPr>
                <w:rFonts w:ascii="Arial" w:hAnsi="Arial" w:cs="Arial"/>
              </w:rPr>
            </w:pPr>
            <w:r w:rsidRPr="0059479B">
              <w:rPr>
                <w:rFonts w:ascii="Arial" w:hAnsi="Arial" w:cs="Arial"/>
                <w:w w:val="95"/>
              </w:rPr>
              <w:t>D.</w:t>
            </w:r>
          </w:p>
        </w:tc>
        <w:tc>
          <w:tcPr>
            <w:tcW w:w="8981" w:type="dxa"/>
          </w:tcPr>
          <w:p w:rsidR="00EF61EA" w:rsidRPr="0059479B" w:rsidRDefault="00600BE6">
            <w:pPr>
              <w:pStyle w:val="TableParagraph"/>
              <w:spacing w:before="150"/>
              <w:ind w:left="29"/>
              <w:rPr>
                <w:rFonts w:ascii="Arial" w:hAnsi="Arial" w:cs="Arial"/>
              </w:rPr>
            </w:pPr>
            <w:r w:rsidRPr="0059479B">
              <w:rPr>
                <w:rFonts w:ascii="Arial" w:hAnsi="Arial" w:cs="Arial"/>
              </w:rPr>
              <w:t>Budget and Accounting policies for charge backs:</w:t>
            </w:r>
          </w:p>
          <w:p w:rsidR="00EF61EA" w:rsidRPr="0059479B" w:rsidRDefault="00EF61EA">
            <w:pPr>
              <w:pStyle w:val="TableParagraph"/>
              <w:spacing w:before="10"/>
              <w:rPr>
                <w:rFonts w:ascii="Arial" w:hAnsi="Arial" w:cs="Arial"/>
                <w:b/>
              </w:rPr>
            </w:pPr>
          </w:p>
          <w:p w:rsidR="00EF61EA" w:rsidRPr="0059479B" w:rsidRDefault="00600BE6">
            <w:pPr>
              <w:pStyle w:val="TableParagraph"/>
              <w:spacing w:before="1"/>
              <w:ind w:left="29" w:right="199"/>
              <w:rPr>
                <w:rFonts w:ascii="Arial" w:hAnsi="Arial" w:cs="Arial"/>
              </w:rPr>
            </w:pPr>
            <w:r w:rsidRPr="0059479B">
              <w:rPr>
                <w:rFonts w:ascii="Arial" w:hAnsi="Arial" w:cs="Arial"/>
              </w:rPr>
              <w:t>The Accounting Services Department will charge monthly state vehicle usage to the appropriate dean or vice president on a monthly basis. The information will be provided by Facilities</w:t>
            </w:r>
            <w:r w:rsidR="0059479B">
              <w:rPr>
                <w:rFonts w:ascii="Arial" w:hAnsi="Arial" w:cs="Arial"/>
              </w:rPr>
              <w:t>,</w:t>
            </w:r>
            <w:r w:rsidRPr="0059479B">
              <w:rPr>
                <w:rFonts w:ascii="Arial" w:hAnsi="Arial" w:cs="Arial"/>
              </w:rPr>
              <w:t xml:space="preserve"> Planning</w:t>
            </w:r>
            <w:r w:rsidR="0059479B">
              <w:rPr>
                <w:rFonts w:ascii="Arial" w:hAnsi="Arial" w:cs="Arial"/>
              </w:rPr>
              <w:t xml:space="preserve"> and Environmental Safety</w:t>
            </w:r>
            <w:r w:rsidRPr="0059479B">
              <w:rPr>
                <w:rFonts w:ascii="Arial" w:hAnsi="Arial" w:cs="Arial"/>
              </w:rPr>
              <w:t>. The offsetting accounting entry will be a credit to the Vehicle Maintenance organization with a specific sub-object for vehicle charge backs.</w:t>
            </w:r>
          </w:p>
          <w:p w:rsidR="00EF61EA" w:rsidRPr="0059479B" w:rsidRDefault="00EF61EA">
            <w:pPr>
              <w:pStyle w:val="TableParagraph"/>
              <w:spacing w:before="3"/>
              <w:rPr>
                <w:rFonts w:ascii="Arial" w:hAnsi="Arial" w:cs="Arial"/>
                <w:b/>
              </w:rPr>
            </w:pPr>
          </w:p>
          <w:p w:rsidR="00EF61EA" w:rsidRDefault="00600BE6">
            <w:pPr>
              <w:pStyle w:val="TableParagraph"/>
              <w:ind w:left="29" w:right="199"/>
              <w:rPr>
                <w:rFonts w:ascii="Arial" w:hAnsi="Arial" w:cs="Arial"/>
              </w:rPr>
            </w:pPr>
            <w:r w:rsidRPr="0059479B">
              <w:rPr>
                <w:rFonts w:ascii="Arial" w:hAnsi="Arial" w:cs="Arial"/>
              </w:rPr>
              <w:t>The vehicles will be charged at the rate of $.55 for cars and $.65 for all others per mile. The cost of the permanently assigned vehicles will be charged to the appropriate dean or vice president responsible for the department. These costs will not be calculated using mileage but for the direct costs of maintaining that vehicle.</w:t>
            </w:r>
          </w:p>
          <w:p w:rsidR="00EA7AE5" w:rsidRPr="00EA7AE5" w:rsidRDefault="00EA7AE5" w:rsidP="0059479B">
            <w:pPr>
              <w:pStyle w:val="BodyText"/>
              <w:spacing w:before="80"/>
              <w:ind w:right="272"/>
              <w:rPr>
                <w:rFonts w:ascii="Arial" w:hAnsi="Arial" w:cs="Arial"/>
                <w:sz w:val="10"/>
                <w:szCs w:val="10"/>
              </w:rPr>
            </w:pPr>
          </w:p>
          <w:p w:rsidR="0059479B" w:rsidRPr="0059479B" w:rsidRDefault="00600BE6" w:rsidP="00EA7AE5">
            <w:pPr>
              <w:pStyle w:val="BodyText"/>
              <w:spacing w:before="80"/>
              <w:ind w:right="272"/>
              <w:rPr>
                <w:rFonts w:ascii="Arial" w:hAnsi="Arial" w:cs="Arial"/>
                <w:sz w:val="22"/>
                <w:szCs w:val="22"/>
              </w:rPr>
            </w:pPr>
            <w:r w:rsidRPr="0059479B">
              <w:rPr>
                <w:rFonts w:ascii="Arial" w:hAnsi="Arial" w:cs="Arial"/>
                <w:sz w:val="22"/>
                <w:szCs w:val="22"/>
              </w:rPr>
              <w:t>Auxiliaries and grant funds will be charged directly for their usage and not to the</w:t>
            </w:r>
            <w:r w:rsidR="0059479B">
              <w:rPr>
                <w:rFonts w:ascii="Arial" w:hAnsi="Arial" w:cs="Arial"/>
              </w:rPr>
              <w:t xml:space="preserve"> </w:t>
            </w:r>
            <w:r w:rsidR="0059479B" w:rsidRPr="0059479B">
              <w:rPr>
                <w:rFonts w:ascii="Arial" w:hAnsi="Arial" w:cs="Arial"/>
                <w:sz w:val="22"/>
                <w:szCs w:val="22"/>
              </w:rPr>
              <w:t>appropriate dean or vice-president as mentioned above. Monitoring and control of these funds is the responsibility of the individual fund manager</w:t>
            </w:r>
            <w:r w:rsidR="0059479B">
              <w:t>s.</w:t>
            </w:r>
          </w:p>
        </w:tc>
      </w:tr>
    </w:tbl>
    <w:p w:rsidR="00EF61EA" w:rsidRDefault="00EF61EA" w:rsidP="00F31991">
      <w:bookmarkStart w:id="0" w:name="_GoBack"/>
      <w:bookmarkEnd w:id="0"/>
    </w:p>
    <w:sectPr w:rsidR="00EF61EA" w:rsidSect="0073460E">
      <w:pgSz w:w="12240" w:h="15840"/>
      <w:pgMar w:top="900" w:right="12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1EA"/>
    <w:rsid w:val="00140426"/>
    <w:rsid w:val="00376A8F"/>
    <w:rsid w:val="0059479B"/>
    <w:rsid w:val="00600BE6"/>
    <w:rsid w:val="0073460E"/>
    <w:rsid w:val="00EA7AE5"/>
    <w:rsid w:val="00EF61EA"/>
    <w:rsid w:val="00F31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D8FB"/>
  <w15:docId w15:val="{B55CBB27-0DCD-4A54-90D5-9D87B774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bidi="en-US"/>
    </w:rPr>
  </w:style>
  <w:style w:type="paragraph" w:styleId="Heading1">
    <w:name w:val="heading 1"/>
    <w:basedOn w:val="Normal"/>
    <w:uiPriority w:val="1"/>
    <w:qFormat/>
    <w:pPr>
      <w:spacing w:before="1"/>
      <w:ind w:left="2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849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s.scot-mitchell</dc:creator>
  <cp:lastModifiedBy>Kedanis, Deborah L.</cp:lastModifiedBy>
  <cp:revision>7</cp:revision>
  <dcterms:created xsi:type="dcterms:W3CDTF">2018-11-02T16:05:00Z</dcterms:created>
  <dcterms:modified xsi:type="dcterms:W3CDTF">2018-11-02T17:15:00Z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2011-09-06T00:00:00Z</vt:filetime>
  </property>
  <property fmtid="{D5CDD505-2E9C-101B-9397-08002B2CF9AE}" pid="3" name="Creator">
    <vt:lpwstr>Microsoft® Word 2010</vt:lpwstr>
  </property>
  <property fmtid="{D5CDD505-2E9C-101B-9397-08002B2CF9AE}" pid="4" name="LastSaved">
    <vt:filetime>2018-11-02T00:00:00Z</vt:filetime>
  </property>
</Properties>
</file>