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15" w:type="dxa"/>
        <w:tblLook w:val="04A0" w:firstRow="1" w:lastRow="0" w:firstColumn="1" w:lastColumn="0" w:noHBand="0" w:noVBand="1"/>
      </w:tblPr>
      <w:tblGrid>
        <w:gridCol w:w="884"/>
        <w:gridCol w:w="2398"/>
        <w:gridCol w:w="1068"/>
        <w:gridCol w:w="927"/>
        <w:gridCol w:w="1043"/>
        <w:gridCol w:w="2130"/>
        <w:gridCol w:w="1012"/>
        <w:gridCol w:w="990"/>
        <w:gridCol w:w="1080"/>
      </w:tblGrid>
      <w:tr w:rsidR="005F6594" w:rsidRPr="005F6594" w:rsidTr="005F6594">
        <w:trPr>
          <w:trHeight w:val="255"/>
        </w:trPr>
        <w:tc>
          <w:tcPr>
            <w:tcW w:w="11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Slippery Rock University Cohort Default Rates</w:t>
            </w:r>
          </w:p>
        </w:tc>
      </w:tr>
      <w:tr w:rsidR="005F6594" w:rsidRPr="005F6594" w:rsidTr="005F6594">
        <w:trPr>
          <w:trHeight w:val="255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 ID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Control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Program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 202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 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FY 2019</w:t>
            </w:r>
          </w:p>
        </w:tc>
      </w:tr>
      <w:tr w:rsidR="005F6594" w:rsidRPr="005F6594" w:rsidTr="005F6594">
        <w:trPr>
          <w:trHeight w:val="255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</w:t>
            </w: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3327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Slippery Rock University of Pennsylvania (SRU) 1 Morrow Way Slippery Rock, PA 16057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Master's or Doctor's Degrees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Public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Default Rate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</w:tr>
      <w:tr w:rsidR="005F6594" w:rsidRPr="005F6594" w:rsidTr="005F6594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in Default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5F6594" w:rsidRPr="005F6594" w:rsidTr="005F6594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 in Repayment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2401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2451</w:t>
            </w:r>
          </w:p>
        </w:tc>
      </w:tr>
      <w:tr w:rsidR="005F6594" w:rsidRPr="005F6594" w:rsidTr="005F6594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Enrollment Figure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57B69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10,238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10,366</w:t>
            </w:r>
          </w:p>
        </w:tc>
      </w:tr>
      <w:tr w:rsidR="005F6594" w:rsidRPr="005F6594" w:rsidTr="005F6594">
        <w:trPr>
          <w:trHeight w:val="255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Percentage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57B69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57B69">
              <w:rPr>
                <w:rFonts w:ascii="Arial" w:eastAsia="Times New Roman" w:hAnsi="Arial" w:cs="Arial"/>
                <w:sz w:val="20"/>
                <w:szCs w:val="20"/>
              </w:rPr>
              <w:t>23.15%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457B69">
              <w:rPr>
                <w:rFonts w:ascii="Arial" w:eastAsia="Times New Roman" w:hAnsi="Arial" w:cs="Arial"/>
                <w:sz w:val="20"/>
                <w:szCs w:val="20"/>
              </w:rPr>
              <w:t>23.64%</w:t>
            </w:r>
          </w:p>
        </w:tc>
      </w:tr>
      <w:tr w:rsidR="005F6594" w:rsidRPr="005F6594" w:rsidTr="005F6594">
        <w:trPr>
          <w:trHeight w:val="1095"/>
        </w:trPr>
        <w:tc>
          <w:tcPr>
            <w:tcW w:w="11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94" w:rsidRPr="005F6594" w:rsidRDefault="005F6594" w:rsidP="005F6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F6594">
              <w:rPr>
                <w:rFonts w:ascii="Arial" w:eastAsia="Times New Roman" w:hAnsi="Arial" w:cs="Arial"/>
                <w:sz w:val="20"/>
                <w:szCs w:val="20"/>
              </w:rPr>
              <w:t xml:space="preserve">ENROLLMENT NOTE: </w:t>
            </w:r>
            <w:r w:rsidRPr="005F659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To provide context for the Cohort Default Rate (CDR) data, we include Enrollment Figures (students enrolled at any time during the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5F659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year) and the corresponding Percentage Calculation (borrowers entering repayment divided by that enrollment figure). There is no direct relationship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5F659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between the timing of when a borrower entered repayment and any particular enrollment year; we have chosen to use the academic year ending on the30th of June before the beginning of the cohort year.</w:t>
            </w:r>
          </w:p>
        </w:tc>
      </w:tr>
    </w:tbl>
    <w:p w:rsidR="005F6594" w:rsidRDefault="005F6594">
      <w:bookmarkStart w:id="0" w:name="_GoBack"/>
      <w:bookmarkEnd w:id="0"/>
    </w:p>
    <w:sectPr w:rsidR="005F6594" w:rsidSect="005F65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94"/>
    <w:rsid w:val="00457B69"/>
    <w:rsid w:val="005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B956"/>
  <w15:chartTrackingRefBased/>
  <w15:docId w15:val="{40616706-188C-4057-985A-C10E24B9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5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Samantha E.</dc:creator>
  <cp:keywords/>
  <dc:description/>
  <cp:lastModifiedBy>Kelly, Samantha E.</cp:lastModifiedBy>
  <cp:revision>1</cp:revision>
  <dcterms:created xsi:type="dcterms:W3CDTF">2025-04-21T13:56:00Z</dcterms:created>
  <dcterms:modified xsi:type="dcterms:W3CDTF">2025-04-21T14:11:00Z</dcterms:modified>
</cp:coreProperties>
</file>