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5E9A" w14:textId="58C131B7" w:rsidR="418088CD" w:rsidRPr="000815DC" w:rsidRDefault="418088CD" w:rsidP="45256B0F">
      <w:pPr>
        <w:pStyle w:val="NoSpacing"/>
        <w:jc w:val="center"/>
        <w:rPr>
          <w:rFonts w:ascii="Arial" w:hAnsi="Arial" w:cs="Arial"/>
          <w:b/>
          <w:bCs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>Office of the Chancellor</w:t>
      </w:r>
    </w:p>
    <w:p w14:paraId="31EA1E0E" w14:textId="152CF9C4" w:rsidR="418088CD" w:rsidRPr="000815DC" w:rsidRDefault="418088CD" w:rsidP="45256B0F">
      <w:pPr>
        <w:pStyle w:val="NoSpacing"/>
        <w:jc w:val="center"/>
        <w:rPr>
          <w:rFonts w:ascii="Arial" w:hAnsi="Arial" w:cs="Arial"/>
          <w:b/>
          <w:bCs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 xml:space="preserve">Pennsylvania State System of </w:t>
      </w:r>
      <w:r w:rsidR="00BE67D7" w:rsidRPr="000815DC">
        <w:rPr>
          <w:rFonts w:ascii="Arial" w:hAnsi="Arial" w:cs="Arial"/>
          <w:b/>
          <w:bCs/>
          <w:sz w:val="22"/>
          <w:szCs w:val="22"/>
        </w:rPr>
        <w:t>H</w:t>
      </w:r>
      <w:r w:rsidRPr="000815DC">
        <w:rPr>
          <w:rFonts w:ascii="Arial" w:hAnsi="Arial" w:cs="Arial"/>
          <w:b/>
          <w:bCs/>
          <w:sz w:val="22"/>
          <w:szCs w:val="22"/>
        </w:rPr>
        <w:t>igher Education</w:t>
      </w:r>
    </w:p>
    <w:p w14:paraId="2F17F58B" w14:textId="34613066" w:rsidR="45256B0F" w:rsidRPr="000815DC" w:rsidRDefault="45256B0F" w:rsidP="45256B0F">
      <w:pPr>
        <w:pStyle w:val="NoSpacing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2A18C1" w14:textId="77777777" w:rsidR="00DC53F4" w:rsidRDefault="418088CD" w:rsidP="45256B0F">
      <w:pPr>
        <w:pStyle w:val="NoSpacing"/>
        <w:jc w:val="center"/>
        <w:rPr>
          <w:rFonts w:ascii="Arial" w:hAnsi="Arial" w:cs="Arial"/>
          <w:b/>
          <w:bCs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 xml:space="preserve">Guidance Document </w:t>
      </w:r>
    </w:p>
    <w:p w14:paraId="58933F68" w14:textId="38D3BC64" w:rsidR="0DAB8B20" w:rsidRPr="000815DC" w:rsidRDefault="0DAB8B20" w:rsidP="45256B0F">
      <w:pPr>
        <w:pStyle w:val="NoSpacing"/>
        <w:jc w:val="center"/>
        <w:rPr>
          <w:rFonts w:ascii="Arial" w:hAnsi="Arial" w:cs="Arial"/>
          <w:b/>
          <w:bCs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 xml:space="preserve">Guidelines for </w:t>
      </w:r>
      <w:r w:rsidR="00E625B6" w:rsidRPr="000815DC">
        <w:rPr>
          <w:rFonts w:ascii="Arial" w:hAnsi="Arial" w:cs="Arial"/>
          <w:b/>
          <w:bCs/>
          <w:sz w:val="22"/>
          <w:szCs w:val="22"/>
        </w:rPr>
        <w:t>Direct Payments to Vendors</w:t>
      </w:r>
    </w:p>
    <w:p w14:paraId="231608D0" w14:textId="0B0249E4" w:rsidR="45256B0F" w:rsidRDefault="45256B0F" w:rsidP="45256B0F">
      <w:pPr>
        <w:pStyle w:val="NoSpacing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1583A2" w14:textId="45B4A05E" w:rsidR="005C769C" w:rsidRPr="000815DC" w:rsidRDefault="00266406" w:rsidP="45256B0F">
      <w:pPr>
        <w:pStyle w:val="NoSpacing"/>
        <w:jc w:val="center"/>
        <w:rPr>
          <w:rFonts w:ascii="Arial" w:hAnsi="Arial" w:cs="Arial"/>
          <w:b/>
          <w:bCs/>
          <w:sz w:val="22"/>
          <w:szCs w:val="22"/>
        </w:rPr>
      </w:pPr>
      <w:r w:rsidRPr="0026640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E10A944" wp14:editId="77B8E658">
            <wp:simplePos x="0" y="0"/>
            <wp:positionH relativeFrom="column">
              <wp:posOffset>1790700</wp:posOffset>
            </wp:positionH>
            <wp:positionV relativeFrom="paragraph">
              <wp:posOffset>7620</wp:posOffset>
            </wp:positionV>
            <wp:extent cx="1076325" cy="424815"/>
            <wp:effectExtent l="0" t="0" r="9525" b="0"/>
            <wp:wrapNone/>
            <wp:docPr id="1716370567" name="Picture 1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370567" name="Picture 1" descr="A close up of a signatur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537EB" w14:textId="06B76BF1" w:rsidR="00266406" w:rsidRDefault="00221D81" w:rsidP="45256B0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Issued</w:t>
      </w:r>
      <w:r w:rsidR="31CB0629" w:rsidRPr="000815DC">
        <w:rPr>
          <w:rFonts w:ascii="Arial" w:hAnsi="Arial" w:cs="Arial"/>
          <w:b/>
          <w:bCs/>
          <w:sz w:val="22"/>
          <w:szCs w:val="22"/>
        </w:rPr>
        <w:t xml:space="preserve"> by</w:t>
      </w:r>
      <w:r w:rsidR="31CB0629" w:rsidRPr="00A6391D">
        <w:rPr>
          <w:rFonts w:ascii="Arial" w:hAnsi="Arial" w:cs="Arial"/>
          <w:b/>
          <w:bCs/>
          <w:sz w:val="22"/>
          <w:szCs w:val="22"/>
        </w:rPr>
        <w:t>:</w:t>
      </w:r>
      <w:r w:rsidR="00266406">
        <w:rPr>
          <w:rFonts w:ascii="Arial" w:hAnsi="Arial" w:cs="Arial"/>
          <w:b/>
          <w:bCs/>
          <w:sz w:val="22"/>
          <w:szCs w:val="22"/>
        </w:rPr>
        <w:t xml:space="preserve"> </w:t>
      </w:r>
      <w:r w:rsidR="00266406">
        <w:rPr>
          <w:rFonts w:ascii="Arial" w:hAnsi="Arial" w:cs="Arial"/>
          <w:sz w:val="22"/>
          <w:szCs w:val="22"/>
        </w:rPr>
        <w:t xml:space="preserve">Ginger Coleman </w:t>
      </w:r>
    </w:p>
    <w:p w14:paraId="243E9B41" w14:textId="459A0F73" w:rsidR="00221D81" w:rsidRPr="00A6391D" w:rsidRDefault="00266406" w:rsidP="45256B0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Director of Financial Management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31CB0629" w:rsidRPr="00A6391D">
        <w:rPr>
          <w:rFonts w:ascii="Arial" w:hAnsi="Arial" w:cs="Arial"/>
          <w:sz w:val="22"/>
          <w:szCs w:val="22"/>
        </w:rPr>
        <w:t xml:space="preserve">  </w:t>
      </w:r>
    </w:p>
    <w:p w14:paraId="73D39B0F" w14:textId="77777777" w:rsidR="00221D81" w:rsidRDefault="00221D81" w:rsidP="45256B0F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701A389D" w14:textId="61B33378" w:rsidR="31CB0629" w:rsidRPr="00266406" w:rsidRDefault="31CB0629" w:rsidP="45256B0F">
      <w:pPr>
        <w:pStyle w:val="NoSpacing"/>
        <w:rPr>
          <w:rFonts w:ascii="Arial" w:hAnsi="Arial" w:cs="Arial"/>
          <w:sz w:val="22"/>
          <w:szCs w:val="22"/>
          <w:u w:val="single"/>
        </w:rPr>
      </w:pPr>
      <w:r w:rsidRPr="000815DC">
        <w:rPr>
          <w:rFonts w:ascii="Arial" w:hAnsi="Arial" w:cs="Arial"/>
          <w:b/>
          <w:bCs/>
          <w:sz w:val="22"/>
          <w:szCs w:val="22"/>
        </w:rPr>
        <w:t>Date:</w:t>
      </w:r>
      <w:r w:rsidR="00266406">
        <w:rPr>
          <w:rFonts w:ascii="Arial" w:hAnsi="Arial" w:cs="Arial"/>
          <w:b/>
          <w:bCs/>
          <w:sz w:val="22"/>
          <w:szCs w:val="22"/>
        </w:rPr>
        <w:t xml:space="preserve"> </w:t>
      </w:r>
      <w:r w:rsidR="00266406">
        <w:rPr>
          <w:rFonts w:ascii="Arial" w:hAnsi="Arial" w:cs="Arial"/>
          <w:sz w:val="22"/>
          <w:szCs w:val="22"/>
        </w:rPr>
        <w:t>June 24, 2025</w:t>
      </w:r>
    </w:p>
    <w:p w14:paraId="5CA87DF2" w14:textId="1D5792BB" w:rsidR="38509E9E" w:rsidRPr="000815DC" w:rsidRDefault="00B315DA" w:rsidP="45256B0F">
      <w:pPr>
        <w:pStyle w:val="NoSpacing"/>
        <w:ind w:left="720"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38509E9E" w:rsidRPr="000815DC">
        <w:rPr>
          <w:rFonts w:ascii="Arial" w:hAnsi="Arial" w:cs="Arial"/>
          <w:sz w:val="22"/>
          <w:szCs w:val="22"/>
        </w:rPr>
        <w:tab/>
      </w:r>
    </w:p>
    <w:p w14:paraId="3AA29AF5" w14:textId="7D03BCD5" w:rsidR="0DAB8B20" w:rsidRPr="00A6391D" w:rsidRDefault="0DAB8B20" w:rsidP="00E625B6">
      <w:pPr>
        <w:rPr>
          <w:rFonts w:ascii="Arial" w:hAnsi="Arial" w:cs="Arial"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 xml:space="preserve">Issuing </w:t>
      </w:r>
      <w:r w:rsidR="00D86BF5">
        <w:rPr>
          <w:rFonts w:ascii="Arial" w:hAnsi="Arial" w:cs="Arial"/>
          <w:b/>
          <w:bCs/>
          <w:sz w:val="22"/>
          <w:szCs w:val="22"/>
        </w:rPr>
        <w:t xml:space="preserve">Unit: </w:t>
      </w:r>
      <w:r w:rsidRPr="00A6391D">
        <w:rPr>
          <w:rFonts w:ascii="Arial" w:hAnsi="Arial" w:cs="Arial"/>
          <w:sz w:val="22"/>
          <w:szCs w:val="22"/>
        </w:rPr>
        <w:t>Administration and Finance</w:t>
      </w:r>
    </w:p>
    <w:p w14:paraId="33F69B20" w14:textId="1E3A97E6" w:rsidR="31F9D9DC" w:rsidRPr="00A6391D" w:rsidRDefault="31F9D9DC" w:rsidP="45256B0F">
      <w:pPr>
        <w:rPr>
          <w:rFonts w:ascii="Arial" w:hAnsi="Arial" w:cs="Arial"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>History:</w:t>
      </w:r>
      <w:r w:rsidR="00200EC8" w:rsidRPr="000815DC">
        <w:rPr>
          <w:rFonts w:ascii="Arial" w:hAnsi="Arial" w:cs="Arial"/>
          <w:b/>
          <w:bCs/>
          <w:sz w:val="22"/>
          <w:szCs w:val="22"/>
        </w:rPr>
        <w:t xml:space="preserve"> </w:t>
      </w:r>
      <w:r w:rsidR="00200EC8" w:rsidRPr="00A6391D">
        <w:rPr>
          <w:rFonts w:ascii="Arial" w:hAnsi="Arial" w:cs="Arial"/>
          <w:sz w:val="22"/>
          <w:szCs w:val="22"/>
        </w:rPr>
        <w:t>N/A</w:t>
      </w:r>
    </w:p>
    <w:p w14:paraId="47293FE0" w14:textId="17EABDE9" w:rsidR="2C3BD3A1" w:rsidRPr="00A6391D" w:rsidRDefault="2C3BD3A1" w:rsidP="45256B0F">
      <w:pPr>
        <w:rPr>
          <w:rFonts w:ascii="Arial" w:hAnsi="Arial" w:cs="Arial"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 xml:space="preserve">Related </w:t>
      </w:r>
      <w:r w:rsidR="009A293A">
        <w:rPr>
          <w:rFonts w:ascii="Arial" w:hAnsi="Arial" w:cs="Arial"/>
          <w:b/>
          <w:bCs/>
          <w:sz w:val="22"/>
          <w:szCs w:val="22"/>
        </w:rPr>
        <w:t>Document</w:t>
      </w:r>
      <w:r w:rsidRPr="000815DC">
        <w:rPr>
          <w:rFonts w:ascii="Arial" w:hAnsi="Arial" w:cs="Arial"/>
          <w:b/>
          <w:bCs/>
          <w:sz w:val="22"/>
          <w:szCs w:val="22"/>
        </w:rPr>
        <w:t>:</w:t>
      </w:r>
      <w:r w:rsidR="00200EC8" w:rsidRPr="000815DC">
        <w:rPr>
          <w:rFonts w:ascii="Arial" w:hAnsi="Arial" w:cs="Arial"/>
          <w:b/>
          <w:bCs/>
          <w:sz w:val="22"/>
          <w:szCs w:val="22"/>
        </w:rPr>
        <w:t xml:space="preserve"> </w:t>
      </w:r>
      <w:r w:rsidR="00200EC8" w:rsidRPr="00A6391D">
        <w:rPr>
          <w:rFonts w:ascii="Arial" w:hAnsi="Arial" w:cs="Arial"/>
          <w:sz w:val="22"/>
          <w:szCs w:val="22"/>
        </w:rPr>
        <w:t>N/A</w:t>
      </w:r>
    </w:p>
    <w:p w14:paraId="0C085B82" w14:textId="295E4623" w:rsidR="2C3BD3A1" w:rsidRDefault="2C3BD3A1" w:rsidP="008878F1">
      <w:pPr>
        <w:spacing w:after="0"/>
        <w:rPr>
          <w:rFonts w:ascii="Arial" w:hAnsi="Arial" w:cs="Arial"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>Additional References:</w:t>
      </w:r>
      <w:r w:rsidR="00200EC8" w:rsidRPr="000815DC">
        <w:rPr>
          <w:rFonts w:ascii="Arial" w:hAnsi="Arial" w:cs="Arial"/>
          <w:b/>
          <w:bCs/>
          <w:sz w:val="22"/>
          <w:szCs w:val="22"/>
        </w:rPr>
        <w:t xml:space="preserve"> </w:t>
      </w:r>
      <w:r w:rsidR="00200EC8" w:rsidRPr="00A6391D">
        <w:rPr>
          <w:rFonts w:ascii="Arial" w:hAnsi="Arial" w:cs="Arial"/>
          <w:sz w:val="22"/>
          <w:szCs w:val="22"/>
        </w:rPr>
        <w:t>N/A</w:t>
      </w:r>
    </w:p>
    <w:p w14:paraId="035D54A3" w14:textId="77777777" w:rsidR="008878F1" w:rsidRPr="00A6391D" w:rsidRDefault="008878F1" w:rsidP="008878F1">
      <w:pPr>
        <w:spacing w:after="0"/>
        <w:rPr>
          <w:rFonts w:ascii="Arial" w:hAnsi="Arial" w:cs="Arial"/>
          <w:sz w:val="22"/>
          <w:szCs w:val="22"/>
        </w:rPr>
      </w:pPr>
    </w:p>
    <w:p w14:paraId="08285836" w14:textId="225BE366" w:rsidR="45256B0F" w:rsidRPr="000815DC" w:rsidRDefault="45256B0F" w:rsidP="008878F1">
      <w:pPr>
        <w:pBdr>
          <w:top w:val="single" w:sz="4" w:space="4" w:color="000000"/>
        </w:pBdr>
        <w:spacing w:after="0"/>
        <w:rPr>
          <w:rFonts w:ascii="Arial" w:hAnsi="Arial" w:cs="Arial"/>
          <w:b/>
          <w:bCs/>
          <w:sz w:val="22"/>
          <w:szCs w:val="22"/>
        </w:rPr>
      </w:pPr>
    </w:p>
    <w:p w14:paraId="57AF02C9" w14:textId="411C20AB" w:rsidR="0098215C" w:rsidRPr="000815DC" w:rsidRDefault="1B547116" w:rsidP="000815DC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>I.</w:t>
      </w:r>
      <w:r w:rsidR="0098215C" w:rsidRPr="000815DC">
        <w:rPr>
          <w:rFonts w:ascii="Arial" w:hAnsi="Arial" w:cs="Arial"/>
          <w:sz w:val="22"/>
          <w:szCs w:val="22"/>
        </w:rPr>
        <w:tab/>
      </w:r>
      <w:r w:rsidR="0098215C" w:rsidRPr="000815DC">
        <w:rPr>
          <w:rFonts w:ascii="Arial" w:hAnsi="Arial" w:cs="Arial"/>
          <w:b/>
          <w:bCs/>
          <w:sz w:val="22"/>
          <w:szCs w:val="22"/>
        </w:rPr>
        <w:t>Background</w:t>
      </w:r>
    </w:p>
    <w:p w14:paraId="59277123" w14:textId="464BEB16" w:rsidR="00FE6C32" w:rsidRPr="000815DC" w:rsidRDefault="00FE6C32" w:rsidP="000815DC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0815DC">
        <w:rPr>
          <w:rFonts w:ascii="Arial" w:hAnsi="Arial" w:cs="Arial"/>
          <w:sz w:val="22"/>
          <w:szCs w:val="22"/>
        </w:rPr>
        <w:t>This document provides</w:t>
      </w:r>
      <w:r w:rsidR="001F7B81" w:rsidRPr="000815DC">
        <w:rPr>
          <w:rFonts w:ascii="Arial" w:hAnsi="Arial" w:cs="Arial"/>
          <w:sz w:val="22"/>
          <w:szCs w:val="22"/>
        </w:rPr>
        <w:t xml:space="preserve"> updated guidance to clarify the appropriate use of </w:t>
      </w:r>
      <w:proofErr w:type="gramStart"/>
      <w:r w:rsidR="001F7B81" w:rsidRPr="000815DC">
        <w:rPr>
          <w:rFonts w:ascii="Arial" w:hAnsi="Arial" w:cs="Arial"/>
          <w:sz w:val="22"/>
          <w:szCs w:val="22"/>
        </w:rPr>
        <w:t xml:space="preserve">direct </w:t>
      </w:r>
      <w:r w:rsidR="00AA4E2A">
        <w:rPr>
          <w:rFonts w:ascii="Arial" w:hAnsi="Arial" w:cs="Arial"/>
          <w:sz w:val="22"/>
          <w:szCs w:val="22"/>
        </w:rPr>
        <w:t>pay</w:t>
      </w:r>
      <w:proofErr w:type="gramEnd"/>
      <w:r w:rsidR="00AA4E2A">
        <w:rPr>
          <w:rFonts w:ascii="Arial" w:hAnsi="Arial" w:cs="Arial"/>
          <w:sz w:val="22"/>
          <w:szCs w:val="22"/>
        </w:rPr>
        <w:t xml:space="preserve"> </w:t>
      </w:r>
      <w:r w:rsidR="005612D9">
        <w:rPr>
          <w:rFonts w:ascii="Arial" w:hAnsi="Arial" w:cs="Arial"/>
          <w:sz w:val="22"/>
          <w:szCs w:val="22"/>
        </w:rPr>
        <w:t>payments to vendors</w:t>
      </w:r>
      <w:r w:rsidR="001F7B81" w:rsidRPr="000815DC">
        <w:rPr>
          <w:rFonts w:ascii="Arial" w:hAnsi="Arial" w:cs="Arial"/>
          <w:sz w:val="22"/>
          <w:szCs w:val="22"/>
        </w:rPr>
        <w:t xml:space="preserve"> and to reinforce procurement procedures. </w:t>
      </w:r>
    </w:p>
    <w:p w14:paraId="2454AF40" w14:textId="77777777" w:rsidR="000815DC" w:rsidRPr="000815DC" w:rsidRDefault="000815DC" w:rsidP="000815DC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7E792D7F" w14:textId="5FD3E6CA" w:rsidR="00207379" w:rsidRPr="000815DC" w:rsidRDefault="001F7B81" w:rsidP="000815DC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proofErr w:type="gramStart"/>
      <w:r w:rsidRPr="000815DC">
        <w:rPr>
          <w:rFonts w:ascii="Arial" w:hAnsi="Arial" w:cs="Arial"/>
          <w:sz w:val="22"/>
          <w:szCs w:val="22"/>
        </w:rPr>
        <w:t>Direct pay</w:t>
      </w:r>
      <w:proofErr w:type="gramEnd"/>
      <w:r w:rsidRPr="000815DC">
        <w:rPr>
          <w:rFonts w:ascii="Arial" w:hAnsi="Arial" w:cs="Arial"/>
          <w:sz w:val="22"/>
          <w:szCs w:val="22"/>
        </w:rPr>
        <w:t xml:space="preserve"> payments are payments made to outside entities without the need for a formal purchase order or procurement sourcing event</w:t>
      </w:r>
      <w:r w:rsidR="001D1638" w:rsidRPr="000815DC">
        <w:rPr>
          <w:rFonts w:ascii="Arial" w:hAnsi="Arial" w:cs="Arial"/>
          <w:sz w:val="22"/>
          <w:szCs w:val="22"/>
        </w:rPr>
        <w:t xml:space="preserve">. </w:t>
      </w:r>
      <w:r w:rsidRPr="000815DC">
        <w:rPr>
          <w:rFonts w:ascii="Arial" w:hAnsi="Arial" w:cs="Arial"/>
          <w:sz w:val="22"/>
          <w:szCs w:val="22"/>
        </w:rPr>
        <w:t>These types of payments are typically made for one-off, non-recurring expenses</w:t>
      </w:r>
      <w:r w:rsidR="00214B15" w:rsidRPr="000815DC">
        <w:rPr>
          <w:rFonts w:ascii="Arial" w:hAnsi="Arial" w:cs="Arial"/>
          <w:sz w:val="22"/>
          <w:szCs w:val="22"/>
        </w:rPr>
        <w:t>.</w:t>
      </w:r>
    </w:p>
    <w:p w14:paraId="5C3A5660" w14:textId="77777777" w:rsidR="000815DC" w:rsidRPr="000815DC" w:rsidRDefault="000815DC" w:rsidP="000815DC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3F23C6F5" w14:textId="6CA9F3A1" w:rsidR="007324BD" w:rsidRPr="000815DC" w:rsidRDefault="4638A059" w:rsidP="000815DC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>II.</w:t>
      </w:r>
      <w:r w:rsidR="007324BD" w:rsidRPr="000815DC">
        <w:rPr>
          <w:rFonts w:ascii="Arial" w:hAnsi="Arial" w:cs="Arial"/>
          <w:b/>
          <w:bCs/>
          <w:sz w:val="22"/>
          <w:szCs w:val="22"/>
        </w:rPr>
        <w:tab/>
      </w:r>
      <w:r w:rsidR="00334A56" w:rsidRPr="000815DC">
        <w:rPr>
          <w:rFonts w:ascii="Arial" w:hAnsi="Arial" w:cs="Arial"/>
          <w:b/>
          <w:bCs/>
          <w:sz w:val="22"/>
          <w:szCs w:val="22"/>
        </w:rPr>
        <w:t xml:space="preserve">Direct </w:t>
      </w:r>
      <w:r w:rsidR="00AA4E2A">
        <w:rPr>
          <w:rFonts w:ascii="Arial" w:hAnsi="Arial" w:cs="Arial"/>
          <w:b/>
          <w:bCs/>
          <w:sz w:val="22"/>
          <w:szCs w:val="22"/>
        </w:rPr>
        <w:t xml:space="preserve">Pay </w:t>
      </w:r>
      <w:r w:rsidR="00334A56" w:rsidRPr="000815DC">
        <w:rPr>
          <w:rFonts w:ascii="Arial" w:hAnsi="Arial" w:cs="Arial"/>
          <w:b/>
          <w:bCs/>
          <w:sz w:val="22"/>
          <w:szCs w:val="22"/>
        </w:rPr>
        <w:t>Payments</w:t>
      </w:r>
    </w:p>
    <w:p w14:paraId="01708C18" w14:textId="6689D4DE" w:rsidR="00334A56" w:rsidRPr="000815DC" w:rsidRDefault="00D67107" w:rsidP="000815DC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>Effective July 1, 2025</w:t>
      </w:r>
      <w:r w:rsidRPr="000815DC">
        <w:rPr>
          <w:rFonts w:ascii="Arial" w:hAnsi="Arial" w:cs="Arial"/>
          <w:sz w:val="22"/>
          <w:szCs w:val="22"/>
        </w:rPr>
        <w:t xml:space="preserve">, </w:t>
      </w:r>
      <w:r w:rsidRPr="000815DC">
        <w:rPr>
          <w:rFonts w:ascii="Arial" w:hAnsi="Arial" w:cs="Arial"/>
          <w:b/>
          <w:bCs/>
          <w:sz w:val="22"/>
          <w:szCs w:val="22"/>
        </w:rPr>
        <w:t>the direct pay categories listed below</w:t>
      </w:r>
      <w:r w:rsidRPr="000815DC">
        <w:rPr>
          <w:rFonts w:ascii="Arial" w:hAnsi="Arial" w:cs="Arial"/>
          <w:sz w:val="22"/>
          <w:szCs w:val="22"/>
        </w:rPr>
        <w:t xml:space="preserve">, </w:t>
      </w:r>
      <w:r w:rsidRPr="000815DC">
        <w:rPr>
          <w:rFonts w:ascii="Arial" w:hAnsi="Arial" w:cs="Arial"/>
          <w:i/>
          <w:iCs/>
          <w:sz w:val="22"/>
          <w:szCs w:val="22"/>
        </w:rPr>
        <w:t>further detailed in the attached list</w:t>
      </w:r>
      <w:r w:rsidRPr="000815DC">
        <w:rPr>
          <w:rFonts w:ascii="Arial" w:hAnsi="Arial" w:cs="Arial"/>
          <w:sz w:val="22"/>
          <w:szCs w:val="22"/>
        </w:rPr>
        <w:t xml:space="preserve">, </w:t>
      </w:r>
      <w:r w:rsidRPr="000815DC">
        <w:rPr>
          <w:rFonts w:ascii="Arial" w:hAnsi="Arial" w:cs="Arial"/>
          <w:b/>
          <w:bCs/>
          <w:sz w:val="22"/>
          <w:szCs w:val="22"/>
        </w:rPr>
        <w:t>must be processed through the direct pay method, regardless of amount</w:t>
      </w:r>
      <w:r w:rsidR="00334A56" w:rsidRPr="000815DC">
        <w:rPr>
          <w:rFonts w:ascii="Arial" w:hAnsi="Arial" w:cs="Arial"/>
          <w:sz w:val="22"/>
          <w:szCs w:val="22"/>
        </w:rPr>
        <w:t>.</w:t>
      </w:r>
    </w:p>
    <w:p w14:paraId="40C7F533" w14:textId="77777777" w:rsidR="000815DC" w:rsidRPr="000815DC" w:rsidRDefault="000815DC" w:rsidP="000815DC">
      <w:pPr>
        <w:spacing w:after="0" w:line="240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2B91D22E" w14:textId="5E8E7521" w:rsidR="007324BD" w:rsidRDefault="00D67107" w:rsidP="000815D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>Non-Employee Payments</w:t>
      </w:r>
      <w:r w:rsidRPr="000815DC">
        <w:rPr>
          <w:rFonts w:ascii="Arial" w:hAnsi="Arial" w:cs="Arial"/>
          <w:sz w:val="22"/>
          <w:szCs w:val="22"/>
        </w:rPr>
        <w:t xml:space="preserve"> - Payments to non-employee individuals for services or reimbursements without an agreement.</w:t>
      </w:r>
    </w:p>
    <w:p w14:paraId="31C00A7F" w14:textId="77777777" w:rsidR="00DE783A" w:rsidRPr="00DE783A" w:rsidRDefault="00DE783A" w:rsidP="00DE783A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01DCC8B9" w14:textId="2F323278" w:rsidR="00EE256C" w:rsidRDefault="00D67107" w:rsidP="000815D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>Utility Payments</w:t>
      </w:r>
      <w:r w:rsidRPr="000815DC">
        <w:rPr>
          <w:rFonts w:ascii="Arial" w:hAnsi="Arial" w:cs="Arial"/>
          <w:sz w:val="22"/>
          <w:szCs w:val="22"/>
        </w:rPr>
        <w:t xml:space="preserve"> - Payments for ongoing operational needs to utility providers.</w:t>
      </w:r>
    </w:p>
    <w:p w14:paraId="060DA491" w14:textId="77777777" w:rsidR="00DE783A" w:rsidRPr="00DE783A" w:rsidRDefault="00DE783A" w:rsidP="00DE783A">
      <w:pPr>
        <w:pStyle w:val="ListParagraph"/>
        <w:rPr>
          <w:rFonts w:ascii="Arial" w:hAnsi="Arial" w:cs="Arial"/>
          <w:sz w:val="22"/>
          <w:szCs w:val="22"/>
        </w:rPr>
      </w:pPr>
    </w:p>
    <w:p w14:paraId="2736B24D" w14:textId="6187A369" w:rsidR="00D67107" w:rsidRDefault="00D67107" w:rsidP="000815D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>Membership Fees</w:t>
      </w:r>
      <w:r w:rsidRPr="000815DC">
        <w:rPr>
          <w:rFonts w:ascii="Arial" w:hAnsi="Arial" w:cs="Arial"/>
          <w:sz w:val="22"/>
          <w:szCs w:val="22"/>
        </w:rPr>
        <w:t xml:space="preserve"> - Payments made for recurring memberships that provide access to professional organizations, or journals that benefit the organization.</w:t>
      </w:r>
    </w:p>
    <w:p w14:paraId="1A5489A4" w14:textId="77777777" w:rsidR="00DE783A" w:rsidRPr="00DE783A" w:rsidRDefault="00DE783A" w:rsidP="00DE783A">
      <w:pPr>
        <w:pStyle w:val="ListParagraph"/>
        <w:rPr>
          <w:rFonts w:ascii="Arial" w:hAnsi="Arial" w:cs="Arial"/>
          <w:sz w:val="22"/>
          <w:szCs w:val="22"/>
        </w:rPr>
      </w:pPr>
    </w:p>
    <w:p w14:paraId="538364F6" w14:textId="1ED9A10B" w:rsidR="00D67107" w:rsidRDefault="00D67107" w:rsidP="000815D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>Government Entities</w:t>
      </w:r>
      <w:r w:rsidRPr="000815DC">
        <w:rPr>
          <w:rFonts w:ascii="Arial" w:hAnsi="Arial" w:cs="Arial"/>
          <w:sz w:val="22"/>
          <w:szCs w:val="22"/>
        </w:rPr>
        <w:t xml:space="preserve"> - Payments made to government agencies for various regulatory requirements, licenses, permits, other official fees.</w:t>
      </w:r>
    </w:p>
    <w:p w14:paraId="7A23CAFE" w14:textId="77777777" w:rsidR="00DE783A" w:rsidRPr="00DE783A" w:rsidRDefault="00DE783A" w:rsidP="00DE783A">
      <w:pPr>
        <w:pStyle w:val="ListParagraph"/>
        <w:rPr>
          <w:rFonts w:ascii="Arial" w:hAnsi="Arial" w:cs="Arial"/>
          <w:sz w:val="22"/>
          <w:szCs w:val="22"/>
        </w:rPr>
      </w:pPr>
    </w:p>
    <w:p w14:paraId="20BD84DD" w14:textId="1F8E0F4C" w:rsidR="00D67107" w:rsidRDefault="00D67107" w:rsidP="000815D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>Colleges, Universities, Accreditation Entities</w:t>
      </w:r>
      <w:r w:rsidR="002B46C1" w:rsidRPr="000815DC">
        <w:rPr>
          <w:rFonts w:ascii="Arial" w:hAnsi="Arial" w:cs="Arial"/>
          <w:sz w:val="22"/>
          <w:szCs w:val="22"/>
        </w:rPr>
        <w:t xml:space="preserve"> - Payments made to non-profit educational institutions and accreditation organizations for services related to education and certification</w:t>
      </w:r>
      <w:r w:rsidR="00BD0370" w:rsidRPr="000815DC">
        <w:rPr>
          <w:rFonts w:ascii="Arial" w:hAnsi="Arial" w:cs="Arial"/>
          <w:sz w:val="22"/>
          <w:szCs w:val="22"/>
        </w:rPr>
        <w:t xml:space="preserve">. </w:t>
      </w:r>
    </w:p>
    <w:p w14:paraId="1F3C5958" w14:textId="77777777" w:rsidR="00DE783A" w:rsidRPr="00DE783A" w:rsidRDefault="00DE783A" w:rsidP="00DE783A">
      <w:pPr>
        <w:pStyle w:val="ListParagraph"/>
        <w:rPr>
          <w:rFonts w:ascii="Arial" w:hAnsi="Arial" w:cs="Arial"/>
          <w:sz w:val="22"/>
          <w:szCs w:val="22"/>
        </w:rPr>
      </w:pPr>
    </w:p>
    <w:p w14:paraId="6E72CBB7" w14:textId="07580E02" w:rsidR="00D67107" w:rsidRDefault="00D67107" w:rsidP="000815D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lastRenderedPageBreak/>
        <w:t>Refunds</w:t>
      </w:r>
      <w:r w:rsidR="002B46C1" w:rsidRPr="000815DC">
        <w:rPr>
          <w:rFonts w:ascii="Arial" w:hAnsi="Arial" w:cs="Arial"/>
          <w:sz w:val="22"/>
          <w:szCs w:val="22"/>
        </w:rPr>
        <w:t xml:space="preserve"> - Payments made to return funds to students or other entities due to overpayments, cancellations, or unused funds.</w:t>
      </w:r>
    </w:p>
    <w:p w14:paraId="65342E5A" w14:textId="77777777" w:rsidR="00DE783A" w:rsidRPr="00DE783A" w:rsidRDefault="00DE783A" w:rsidP="00DE783A">
      <w:pPr>
        <w:pStyle w:val="ListParagraph"/>
        <w:rPr>
          <w:rFonts w:ascii="Arial" w:hAnsi="Arial" w:cs="Arial"/>
          <w:sz w:val="22"/>
          <w:szCs w:val="22"/>
        </w:rPr>
      </w:pPr>
    </w:p>
    <w:p w14:paraId="3DA30307" w14:textId="64F7C620" w:rsidR="00D67107" w:rsidRDefault="00D67107" w:rsidP="000815D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>Grants, Subawards, Return of Grant Funds</w:t>
      </w:r>
      <w:r w:rsidR="002B46C1" w:rsidRPr="000815DC">
        <w:rPr>
          <w:rFonts w:ascii="Arial" w:hAnsi="Arial" w:cs="Arial"/>
          <w:sz w:val="22"/>
          <w:szCs w:val="22"/>
        </w:rPr>
        <w:t xml:space="preserve"> - Payments to grant awardees based on sub-awards and payments made to return funds to </w:t>
      </w:r>
      <w:r w:rsidR="00B8748A">
        <w:rPr>
          <w:rFonts w:ascii="Arial" w:hAnsi="Arial" w:cs="Arial"/>
          <w:sz w:val="22"/>
          <w:szCs w:val="22"/>
        </w:rPr>
        <w:t xml:space="preserve">the </w:t>
      </w:r>
      <w:r w:rsidR="002B46C1" w:rsidRPr="000815DC">
        <w:rPr>
          <w:rFonts w:ascii="Arial" w:hAnsi="Arial" w:cs="Arial"/>
          <w:sz w:val="22"/>
          <w:szCs w:val="22"/>
        </w:rPr>
        <w:t>grant agency.</w:t>
      </w:r>
    </w:p>
    <w:p w14:paraId="17A6470C" w14:textId="77777777" w:rsidR="00DE783A" w:rsidRPr="00DE783A" w:rsidRDefault="00DE783A" w:rsidP="00DE783A">
      <w:pPr>
        <w:pStyle w:val="ListParagraph"/>
        <w:rPr>
          <w:rFonts w:ascii="Arial" w:hAnsi="Arial" w:cs="Arial"/>
          <w:sz w:val="22"/>
          <w:szCs w:val="22"/>
        </w:rPr>
      </w:pPr>
    </w:p>
    <w:p w14:paraId="7A27F692" w14:textId="0FFAEC2A" w:rsidR="00D67107" w:rsidRDefault="00D67107" w:rsidP="000815D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>M</w:t>
      </w:r>
      <w:r w:rsidR="000815DC" w:rsidRPr="000815DC">
        <w:rPr>
          <w:rFonts w:ascii="Arial" w:hAnsi="Arial" w:cs="Arial"/>
          <w:b/>
          <w:bCs/>
          <w:sz w:val="22"/>
          <w:szCs w:val="22"/>
        </w:rPr>
        <w:t>emorandum of Understanding (MOU)</w:t>
      </w:r>
      <w:r w:rsidRPr="000815DC">
        <w:rPr>
          <w:rFonts w:ascii="Arial" w:hAnsi="Arial" w:cs="Arial"/>
          <w:b/>
          <w:bCs/>
          <w:sz w:val="22"/>
          <w:szCs w:val="22"/>
        </w:rPr>
        <w:t xml:space="preserve"> and Affiliation Agreements</w:t>
      </w:r>
      <w:r w:rsidR="002B46C1" w:rsidRPr="000815DC">
        <w:rPr>
          <w:rFonts w:ascii="Arial" w:hAnsi="Arial" w:cs="Arial"/>
          <w:sz w:val="22"/>
          <w:szCs w:val="22"/>
        </w:rPr>
        <w:t xml:space="preserve"> - Payments made under a </w:t>
      </w:r>
      <w:r w:rsidR="000815DC" w:rsidRPr="000815DC">
        <w:rPr>
          <w:rFonts w:ascii="Arial" w:hAnsi="Arial" w:cs="Arial"/>
          <w:sz w:val="22"/>
          <w:szCs w:val="22"/>
        </w:rPr>
        <w:t>MOU</w:t>
      </w:r>
      <w:r w:rsidR="002B46C1" w:rsidRPr="000815DC">
        <w:rPr>
          <w:rFonts w:ascii="Arial" w:hAnsi="Arial" w:cs="Arial"/>
          <w:sz w:val="22"/>
          <w:szCs w:val="22"/>
        </w:rPr>
        <w:t>, or affiliation agreement, between the university and another entity.</w:t>
      </w:r>
    </w:p>
    <w:p w14:paraId="470AA66E" w14:textId="77777777" w:rsidR="00DE783A" w:rsidRPr="00DE783A" w:rsidRDefault="00DE783A" w:rsidP="00DE783A">
      <w:pPr>
        <w:pStyle w:val="ListParagraph"/>
        <w:rPr>
          <w:rFonts w:ascii="Arial" w:hAnsi="Arial" w:cs="Arial"/>
          <w:sz w:val="22"/>
          <w:szCs w:val="22"/>
        </w:rPr>
      </w:pPr>
    </w:p>
    <w:p w14:paraId="78278753" w14:textId="4A44AD60" w:rsidR="00D67107" w:rsidRPr="00555C92" w:rsidRDefault="00D67107" w:rsidP="00555C9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>Employee Travel</w:t>
      </w:r>
      <w:r w:rsidR="002B46C1" w:rsidRPr="000815DC">
        <w:rPr>
          <w:rFonts w:ascii="Arial" w:hAnsi="Arial" w:cs="Arial"/>
          <w:sz w:val="22"/>
          <w:szCs w:val="22"/>
        </w:rPr>
        <w:t xml:space="preserve"> - Payments made to employees to cover expenses incurred during business-related travel.</w:t>
      </w:r>
      <w:r w:rsidR="00555C92">
        <w:rPr>
          <w:rFonts w:ascii="Arial" w:hAnsi="Arial" w:cs="Arial"/>
          <w:sz w:val="22"/>
          <w:szCs w:val="22"/>
        </w:rPr>
        <w:t xml:space="preserve"> </w:t>
      </w:r>
      <w:r w:rsidR="00555C92" w:rsidRPr="00555C92">
        <w:rPr>
          <w:rFonts w:ascii="Arial" w:hAnsi="Arial" w:cs="Arial"/>
          <w:sz w:val="22"/>
          <w:szCs w:val="22"/>
        </w:rPr>
        <w:t>Note: For universities using the SAP travel module, the Direct Pay form should not be used for these payments.</w:t>
      </w:r>
    </w:p>
    <w:p w14:paraId="488B0942" w14:textId="77777777" w:rsidR="00DE783A" w:rsidRPr="00DE783A" w:rsidRDefault="00DE783A" w:rsidP="00DE783A">
      <w:pPr>
        <w:pStyle w:val="ListParagraph"/>
        <w:rPr>
          <w:rFonts w:ascii="Arial" w:hAnsi="Arial" w:cs="Arial"/>
          <w:sz w:val="22"/>
          <w:szCs w:val="22"/>
        </w:rPr>
      </w:pPr>
    </w:p>
    <w:p w14:paraId="17AAC057" w14:textId="474CD381" w:rsidR="00D67107" w:rsidRPr="000815DC" w:rsidRDefault="00D67107" w:rsidP="000815D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>Legal Payments</w:t>
      </w:r>
      <w:r w:rsidR="002B46C1" w:rsidRPr="000815DC">
        <w:rPr>
          <w:rFonts w:ascii="Arial" w:hAnsi="Arial" w:cs="Arial"/>
          <w:sz w:val="22"/>
          <w:szCs w:val="22"/>
        </w:rPr>
        <w:t xml:space="preserve"> - Payments for obligations related to lawsuits.</w:t>
      </w:r>
    </w:p>
    <w:p w14:paraId="21DCA071" w14:textId="77777777" w:rsidR="00D67107" w:rsidRPr="000815DC" w:rsidRDefault="00D67107" w:rsidP="000815DC">
      <w:pPr>
        <w:pStyle w:val="ListParagraph"/>
        <w:spacing w:after="0" w:line="240" w:lineRule="auto"/>
        <w:ind w:left="1080"/>
        <w:rPr>
          <w:rFonts w:ascii="Arial" w:hAnsi="Arial" w:cs="Arial"/>
          <w:sz w:val="22"/>
          <w:szCs w:val="22"/>
        </w:rPr>
      </w:pPr>
    </w:p>
    <w:p w14:paraId="4B1223EB" w14:textId="7C245AFF" w:rsidR="007324BD" w:rsidRPr="000815DC" w:rsidRDefault="00334A56" w:rsidP="000815DC">
      <w:pPr>
        <w:pStyle w:val="ListParagraph"/>
        <w:spacing w:after="0" w:line="240" w:lineRule="auto"/>
        <w:rPr>
          <w:rFonts w:ascii="Arial" w:hAnsi="Arial" w:cs="Arial"/>
          <w:sz w:val="22"/>
          <w:szCs w:val="22"/>
        </w:rPr>
      </w:pPr>
      <w:r w:rsidRPr="000815DC">
        <w:rPr>
          <w:rFonts w:ascii="Arial" w:hAnsi="Arial" w:cs="Arial"/>
          <w:sz w:val="22"/>
          <w:szCs w:val="22"/>
        </w:rPr>
        <w:t>These payments, which do not fall under traditional procurement, are to be sent directly to the university’s Accounts Payable office for processing.</w:t>
      </w:r>
    </w:p>
    <w:p w14:paraId="73A79E45" w14:textId="77777777" w:rsidR="00731C4B" w:rsidRPr="000815DC" w:rsidRDefault="00731C4B" w:rsidP="000815DC">
      <w:pPr>
        <w:pStyle w:val="ListParagraph"/>
        <w:spacing w:after="0" w:line="240" w:lineRule="auto"/>
        <w:rPr>
          <w:rFonts w:ascii="Arial" w:hAnsi="Arial" w:cs="Arial"/>
          <w:sz w:val="22"/>
          <w:szCs w:val="22"/>
        </w:rPr>
      </w:pPr>
    </w:p>
    <w:p w14:paraId="583E8316" w14:textId="0185A424" w:rsidR="00731C4B" w:rsidRPr="000815DC" w:rsidRDefault="00731C4B" w:rsidP="000815DC">
      <w:pPr>
        <w:pStyle w:val="ListParagraph"/>
        <w:spacing w:after="0" w:line="240" w:lineRule="auto"/>
        <w:rPr>
          <w:rFonts w:ascii="Arial" w:hAnsi="Arial" w:cs="Arial"/>
          <w:sz w:val="22"/>
          <w:szCs w:val="22"/>
        </w:rPr>
      </w:pPr>
      <w:r w:rsidRPr="000815DC">
        <w:rPr>
          <w:rFonts w:ascii="Arial" w:hAnsi="Arial" w:cs="Arial"/>
          <w:sz w:val="22"/>
          <w:szCs w:val="22"/>
        </w:rPr>
        <w:t>Additional Dining Services may be processed in accordance with university current policies as either a Direct Pay or Purchase Order.</w:t>
      </w:r>
    </w:p>
    <w:p w14:paraId="21398489" w14:textId="77777777" w:rsidR="000815DC" w:rsidRPr="000815DC" w:rsidRDefault="000815DC" w:rsidP="000815DC">
      <w:pPr>
        <w:pStyle w:val="ListParagraph"/>
        <w:spacing w:after="0" w:line="240" w:lineRule="auto"/>
        <w:rPr>
          <w:rFonts w:ascii="Arial" w:hAnsi="Arial" w:cs="Arial"/>
          <w:sz w:val="22"/>
          <w:szCs w:val="22"/>
        </w:rPr>
      </w:pPr>
    </w:p>
    <w:p w14:paraId="567553FA" w14:textId="4956FC5C" w:rsidR="00026755" w:rsidRPr="000815DC" w:rsidRDefault="017047E5" w:rsidP="000815DC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>III.</w:t>
      </w:r>
      <w:r w:rsidR="00026755" w:rsidRPr="000815DC">
        <w:rPr>
          <w:rFonts w:ascii="Arial" w:hAnsi="Arial" w:cs="Arial"/>
          <w:sz w:val="22"/>
          <w:szCs w:val="22"/>
        </w:rPr>
        <w:tab/>
      </w:r>
      <w:r w:rsidR="00334A56" w:rsidRPr="000815DC">
        <w:rPr>
          <w:rFonts w:ascii="Arial" w:hAnsi="Arial" w:cs="Arial"/>
          <w:b/>
          <w:bCs/>
          <w:sz w:val="22"/>
          <w:szCs w:val="22"/>
        </w:rPr>
        <w:t xml:space="preserve">Small </w:t>
      </w:r>
      <w:r w:rsidR="000815DC" w:rsidRPr="000815DC">
        <w:rPr>
          <w:rFonts w:ascii="Arial" w:hAnsi="Arial" w:cs="Arial"/>
          <w:b/>
          <w:bCs/>
          <w:sz w:val="22"/>
          <w:szCs w:val="22"/>
        </w:rPr>
        <w:t>D</w:t>
      </w:r>
      <w:r w:rsidR="00334A56" w:rsidRPr="000815DC">
        <w:rPr>
          <w:rFonts w:ascii="Arial" w:hAnsi="Arial" w:cs="Arial"/>
          <w:b/>
          <w:bCs/>
          <w:sz w:val="22"/>
          <w:szCs w:val="22"/>
        </w:rPr>
        <w:t xml:space="preserve">ollar </w:t>
      </w:r>
      <w:r w:rsidR="000815DC" w:rsidRPr="000815DC">
        <w:rPr>
          <w:rFonts w:ascii="Arial" w:hAnsi="Arial" w:cs="Arial"/>
          <w:b/>
          <w:bCs/>
          <w:sz w:val="22"/>
          <w:szCs w:val="22"/>
        </w:rPr>
        <w:t>L</w:t>
      </w:r>
      <w:r w:rsidR="00334A56" w:rsidRPr="000815DC">
        <w:rPr>
          <w:rFonts w:ascii="Arial" w:hAnsi="Arial" w:cs="Arial"/>
          <w:b/>
          <w:bCs/>
          <w:sz w:val="22"/>
          <w:szCs w:val="22"/>
        </w:rPr>
        <w:t xml:space="preserve">imit </w:t>
      </w:r>
      <w:r w:rsidR="000815DC" w:rsidRPr="000815DC">
        <w:rPr>
          <w:rFonts w:ascii="Arial" w:hAnsi="Arial" w:cs="Arial"/>
          <w:b/>
          <w:bCs/>
          <w:sz w:val="22"/>
          <w:szCs w:val="22"/>
        </w:rPr>
        <w:t>N</w:t>
      </w:r>
      <w:r w:rsidR="00334A56" w:rsidRPr="000815DC">
        <w:rPr>
          <w:rFonts w:ascii="Arial" w:hAnsi="Arial" w:cs="Arial"/>
          <w:b/>
          <w:bCs/>
          <w:sz w:val="22"/>
          <w:szCs w:val="22"/>
        </w:rPr>
        <w:t xml:space="preserve">o </w:t>
      </w:r>
      <w:r w:rsidR="000815DC" w:rsidRPr="000815DC">
        <w:rPr>
          <w:rFonts w:ascii="Arial" w:hAnsi="Arial" w:cs="Arial"/>
          <w:b/>
          <w:bCs/>
          <w:sz w:val="22"/>
          <w:szCs w:val="22"/>
        </w:rPr>
        <w:t>L</w:t>
      </w:r>
      <w:r w:rsidR="00334A56" w:rsidRPr="000815DC">
        <w:rPr>
          <w:rFonts w:ascii="Arial" w:hAnsi="Arial" w:cs="Arial"/>
          <w:b/>
          <w:bCs/>
          <w:sz w:val="22"/>
          <w:szCs w:val="22"/>
        </w:rPr>
        <w:t xml:space="preserve">onger </w:t>
      </w:r>
      <w:r w:rsidR="000815DC" w:rsidRPr="000815DC">
        <w:rPr>
          <w:rFonts w:ascii="Arial" w:hAnsi="Arial" w:cs="Arial"/>
          <w:b/>
          <w:bCs/>
          <w:sz w:val="22"/>
          <w:szCs w:val="22"/>
        </w:rPr>
        <w:t>P</w:t>
      </w:r>
      <w:r w:rsidR="00334A56" w:rsidRPr="000815DC">
        <w:rPr>
          <w:rFonts w:ascii="Arial" w:hAnsi="Arial" w:cs="Arial"/>
          <w:b/>
          <w:bCs/>
          <w:sz w:val="22"/>
          <w:szCs w:val="22"/>
        </w:rPr>
        <w:t xml:space="preserve">ermitted for </w:t>
      </w:r>
      <w:r w:rsidR="000815DC" w:rsidRPr="000815DC">
        <w:rPr>
          <w:rFonts w:ascii="Arial" w:hAnsi="Arial" w:cs="Arial"/>
          <w:b/>
          <w:bCs/>
          <w:sz w:val="22"/>
          <w:szCs w:val="22"/>
        </w:rPr>
        <w:t>D</w:t>
      </w:r>
      <w:r w:rsidR="00334A56" w:rsidRPr="000815DC">
        <w:rPr>
          <w:rFonts w:ascii="Arial" w:hAnsi="Arial" w:cs="Arial"/>
          <w:b/>
          <w:bCs/>
          <w:sz w:val="22"/>
          <w:szCs w:val="22"/>
        </w:rPr>
        <w:t xml:space="preserve">irect </w:t>
      </w:r>
      <w:r w:rsidR="000815DC" w:rsidRPr="000815DC">
        <w:rPr>
          <w:rFonts w:ascii="Arial" w:hAnsi="Arial" w:cs="Arial"/>
          <w:b/>
          <w:bCs/>
          <w:sz w:val="22"/>
          <w:szCs w:val="22"/>
        </w:rPr>
        <w:t>P</w:t>
      </w:r>
      <w:r w:rsidR="00334A56" w:rsidRPr="000815DC">
        <w:rPr>
          <w:rFonts w:ascii="Arial" w:hAnsi="Arial" w:cs="Arial"/>
          <w:b/>
          <w:bCs/>
          <w:sz w:val="22"/>
          <w:szCs w:val="22"/>
        </w:rPr>
        <w:t xml:space="preserve">ay </w:t>
      </w:r>
      <w:r w:rsidR="000815DC" w:rsidRPr="000815DC">
        <w:rPr>
          <w:rFonts w:ascii="Arial" w:hAnsi="Arial" w:cs="Arial"/>
          <w:b/>
          <w:bCs/>
          <w:sz w:val="22"/>
          <w:szCs w:val="22"/>
        </w:rPr>
        <w:t>P</w:t>
      </w:r>
      <w:r w:rsidR="00334A56" w:rsidRPr="000815DC">
        <w:rPr>
          <w:rFonts w:ascii="Arial" w:hAnsi="Arial" w:cs="Arial"/>
          <w:b/>
          <w:bCs/>
          <w:sz w:val="22"/>
          <w:szCs w:val="22"/>
        </w:rPr>
        <w:t>urchases</w:t>
      </w:r>
    </w:p>
    <w:p w14:paraId="737BC056" w14:textId="291C285F" w:rsidR="00334A56" w:rsidRPr="000815DC" w:rsidRDefault="00334A56" w:rsidP="000815DC">
      <w:pPr>
        <w:pStyle w:val="ListParagraph"/>
        <w:spacing w:after="0" w:line="240" w:lineRule="auto"/>
        <w:rPr>
          <w:rFonts w:ascii="Arial" w:hAnsi="Arial" w:cs="Arial"/>
          <w:sz w:val="22"/>
          <w:szCs w:val="22"/>
        </w:rPr>
      </w:pPr>
      <w:r w:rsidRPr="000815DC">
        <w:rPr>
          <w:rFonts w:ascii="Arial" w:hAnsi="Arial" w:cs="Arial"/>
          <w:sz w:val="22"/>
          <w:szCs w:val="22"/>
        </w:rPr>
        <w:t>The option to use direct pay for procurement-related items under $5,000 will no longer be available</w:t>
      </w:r>
      <w:r w:rsidR="001D1638" w:rsidRPr="000815DC">
        <w:rPr>
          <w:rFonts w:ascii="Arial" w:hAnsi="Arial" w:cs="Arial"/>
          <w:sz w:val="22"/>
          <w:szCs w:val="22"/>
        </w:rPr>
        <w:t xml:space="preserve">. </w:t>
      </w:r>
      <w:r w:rsidRPr="000815DC">
        <w:rPr>
          <w:rFonts w:ascii="Arial" w:hAnsi="Arial" w:cs="Arial"/>
          <w:sz w:val="22"/>
          <w:szCs w:val="22"/>
        </w:rPr>
        <w:t>This change ensures consistency, improves compliance, and streamlines procurement operations across all universities in the system.</w:t>
      </w:r>
    </w:p>
    <w:p w14:paraId="0F8AA284" w14:textId="77777777" w:rsidR="000815DC" w:rsidRPr="000815DC" w:rsidRDefault="000815DC" w:rsidP="000815DC">
      <w:pPr>
        <w:pStyle w:val="ListParagraph"/>
        <w:spacing w:after="0" w:line="240" w:lineRule="auto"/>
        <w:rPr>
          <w:rFonts w:ascii="Arial" w:hAnsi="Arial" w:cs="Arial"/>
          <w:sz w:val="22"/>
          <w:szCs w:val="22"/>
        </w:rPr>
      </w:pPr>
    </w:p>
    <w:p w14:paraId="13F3D09F" w14:textId="212C2D4F" w:rsidR="00572D9F" w:rsidRPr="000815DC" w:rsidRDefault="710360B8" w:rsidP="000815DC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0815DC">
        <w:rPr>
          <w:rFonts w:ascii="Arial" w:hAnsi="Arial" w:cs="Arial"/>
          <w:b/>
          <w:bCs/>
          <w:sz w:val="22"/>
          <w:szCs w:val="22"/>
        </w:rPr>
        <w:t>IV.</w:t>
      </w:r>
      <w:r w:rsidR="00572D9F" w:rsidRPr="000815DC">
        <w:rPr>
          <w:rFonts w:ascii="Arial" w:hAnsi="Arial" w:cs="Arial"/>
          <w:b/>
          <w:bCs/>
          <w:sz w:val="22"/>
          <w:szCs w:val="22"/>
        </w:rPr>
        <w:tab/>
      </w:r>
      <w:r w:rsidR="00324B30" w:rsidRPr="000815DC">
        <w:rPr>
          <w:rFonts w:ascii="Arial" w:hAnsi="Arial" w:cs="Arial"/>
          <w:b/>
          <w:bCs/>
          <w:sz w:val="22"/>
          <w:szCs w:val="22"/>
        </w:rPr>
        <w:t xml:space="preserve">Other Purchases </w:t>
      </w:r>
    </w:p>
    <w:p w14:paraId="59F704D0" w14:textId="3581C970" w:rsidR="00324B30" w:rsidRPr="000815DC" w:rsidRDefault="00324B30" w:rsidP="000815DC">
      <w:pPr>
        <w:pStyle w:val="ListParagraph"/>
        <w:spacing w:after="0" w:line="240" w:lineRule="auto"/>
        <w:rPr>
          <w:rFonts w:ascii="Arial" w:hAnsi="Arial" w:cs="Arial"/>
          <w:sz w:val="22"/>
          <w:szCs w:val="22"/>
        </w:rPr>
      </w:pPr>
      <w:r w:rsidRPr="000815DC">
        <w:rPr>
          <w:rFonts w:ascii="Arial" w:hAnsi="Arial" w:cs="Arial"/>
          <w:sz w:val="22"/>
          <w:szCs w:val="22"/>
        </w:rPr>
        <w:t>All other purchases of goods and services, regardless of amount, require processing through the procurement system, or an authorized purchasing card (</w:t>
      </w:r>
      <w:proofErr w:type="spellStart"/>
      <w:r w:rsidRPr="000815DC">
        <w:rPr>
          <w:rFonts w:ascii="Arial" w:hAnsi="Arial" w:cs="Arial"/>
          <w:sz w:val="22"/>
          <w:szCs w:val="22"/>
        </w:rPr>
        <w:t>pcard</w:t>
      </w:r>
      <w:proofErr w:type="spellEnd"/>
      <w:r w:rsidRPr="000815DC">
        <w:rPr>
          <w:rFonts w:ascii="Arial" w:hAnsi="Arial" w:cs="Arial"/>
          <w:sz w:val="22"/>
          <w:szCs w:val="22"/>
        </w:rPr>
        <w:t>) when appropriate</w:t>
      </w:r>
      <w:r w:rsidR="001D1638" w:rsidRPr="000815DC">
        <w:rPr>
          <w:rFonts w:ascii="Arial" w:hAnsi="Arial" w:cs="Arial"/>
          <w:sz w:val="22"/>
          <w:szCs w:val="22"/>
        </w:rPr>
        <w:t xml:space="preserve">. </w:t>
      </w:r>
      <w:r w:rsidRPr="000815DC">
        <w:rPr>
          <w:rFonts w:ascii="Arial" w:hAnsi="Arial" w:cs="Arial"/>
          <w:sz w:val="22"/>
          <w:szCs w:val="22"/>
        </w:rPr>
        <w:t>A purchasing card remains an option for small, one-time purchases</w:t>
      </w:r>
      <w:r w:rsidR="001D1638" w:rsidRPr="000815DC">
        <w:rPr>
          <w:rFonts w:ascii="Arial" w:hAnsi="Arial" w:cs="Arial"/>
          <w:sz w:val="22"/>
          <w:szCs w:val="22"/>
        </w:rPr>
        <w:t xml:space="preserve">. </w:t>
      </w:r>
      <w:r w:rsidRPr="000815DC">
        <w:rPr>
          <w:rFonts w:ascii="Arial" w:hAnsi="Arial" w:cs="Arial"/>
          <w:sz w:val="22"/>
          <w:szCs w:val="22"/>
        </w:rPr>
        <w:t>Please check your universit</w:t>
      </w:r>
      <w:r w:rsidR="00536A54">
        <w:rPr>
          <w:rFonts w:ascii="Arial" w:hAnsi="Arial" w:cs="Arial"/>
          <w:sz w:val="22"/>
          <w:szCs w:val="22"/>
        </w:rPr>
        <w:t>y</w:t>
      </w:r>
      <w:r w:rsidR="00126AF1">
        <w:rPr>
          <w:rFonts w:ascii="Arial" w:hAnsi="Arial" w:cs="Arial"/>
          <w:sz w:val="22"/>
          <w:szCs w:val="22"/>
        </w:rPr>
        <w:t>’s</w:t>
      </w:r>
      <w:r w:rsidRPr="000815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15DC">
        <w:rPr>
          <w:rFonts w:ascii="Arial" w:hAnsi="Arial" w:cs="Arial"/>
          <w:sz w:val="22"/>
          <w:szCs w:val="22"/>
        </w:rPr>
        <w:t>pcard</w:t>
      </w:r>
      <w:proofErr w:type="spellEnd"/>
      <w:r w:rsidRPr="000815DC">
        <w:rPr>
          <w:rFonts w:ascii="Arial" w:hAnsi="Arial" w:cs="Arial"/>
          <w:sz w:val="22"/>
          <w:szCs w:val="22"/>
        </w:rPr>
        <w:t xml:space="preserve"> polic</w:t>
      </w:r>
      <w:r w:rsidR="00C84E4F">
        <w:rPr>
          <w:rFonts w:ascii="Arial" w:hAnsi="Arial" w:cs="Arial"/>
          <w:sz w:val="22"/>
          <w:szCs w:val="22"/>
        </w:rPr>
        <w:t>y</w:t>
      </w:r>
      <w:r w:rsidRPr="000815DC">
        <w:rPr>
          <w:rFonts w:ascii="Arial" w:hAnsi="Arial" w:cs="Arial"/>
          <w:sz w:val="22"/>
          <w:szCs w:val="22"/>
        </w:rPr>
        <w:t xml:space="preserve"> for small dollar allowable expenditures.</w:t>
      </w:r>
    </w:p>
    <w:p w14:paraId="6A655058" w14:textId="74808E61" w:rsidR="00324B30" w:rsidRDefault="00324B30" w:rsidP="00054FB7">
      <w:pPr>
        <w:rPr>
          <w:b/>
          <w:bCs/>
        </w:rPr>
      </w:pPr>
    </w:p>
    <w:p w14:paraId="5E379B02" w14:textId="77777777" w:rsidR="0060381E" w:rsidRDefault="0060381E" w:rsidP="00054FB7">
      <w:pPr>
        <w:rPr>
          <w:b/>
          <w:bCs/>
        </w:rPr>
      </w:pPr>
    </w:p>
    <w:p w14:paraId="0DFE54DA" w14:textId="77777777" w:rsidR="0060381E" w:rsidRDefault="0060381E" w:rsidP="00054FB7">
      <w:pPr>
        <w:rPr>
          <w:b/>
          <w:bCs/>
        </w:rPr>
      </w:pPr>
    </w:p>
    <w:p w14:paraId="248BA3AC" w14:textId="77777777" w:rsidR="0060381E" w:rsidRDefault="0060381E" w:rsidP="00054FB7">
      <w:pPr>
        <w:rPr>
          <w:b/>
          <w:bCs/>
        </w:rPr>
      </w:pPr>
    </w:p>
    <w:p w14:paraId="19A1DF6A" w14:textId="72049E3A" w:rsidR="0060381E" w:rsidRDefault="0060381E">
      <w:pPr>
        <w:rPr>
          <w:b/>
          <w:bCs/>
        </w:rPr>
      </w:pPr>
      <w:r>
        <w:rPr>
          <w:b/>
          <w:bCs/>
        </w:rPr>
        <w:br w:type="page"/>
      </w:r>
    </w:p>
    <w:p w14:paraId="59BAF751" w14:textId="77777777" w:rsidR="0060381E" w:rsidRDefault="0060381E" w:rsidP="00054FB7">
      <w:pPr>
        <w:rPr>
          <w:b/>
          <w:bCs/>
        </w:rPr>
        <w:sectPr w:rsidR="0060381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8DEE2E" w14:textId="2959F1CA" w:rsidR="0060381E" w:rsidRPr="000815DC" w:rsidRDefault="0060381E" w:rsidP="00063AE5">
      <w:pPr>
        <w:jc w:val="center"/>
        <w:rPr>
          <w:rFonts w:ascii="Arial" w:hAnsi="Arial" w:cs="Arial"/>
          <w:b/>
          <w:bCs/>
        </w:rPr>
      </w:pPr>
      <w:r w:rsidRPr="000815DC">
        <w:rPr>
          <w:rFonts w:ascii="Arial" w:hAnsi="Arial" w:cs="Arial"/>
          <w:b/>
          <w:bCs/>
        </w:rPr>
        <w:lastRenderedPageBreak/>
        <w:t>Pennsylvania State System of Higher Education</w:t>
      </w:r>
    </w:p>
    <w:p w14:paraId="3637042B" w14:textId="6DF757EA" w:rsidR="0060381E" w:rsidRPr="000815DC" w:rsidRDefault="0060381E" w:rsidP="00063AE5">
      <w:pPr>
        <w:jc w:val="center"/>
        <w:rPr>
          <w:rFonts w:ascii="Arial" w:hAnsi="Arial" w:cs="Arial"/>
          <w:b/>
          <w:bCs/>
        </w:rPr>
      </w:pPr>
      <w:r w:rsidRPr="000815DC">
        <w:rPr>
          <w:rFonts w:ascii="Arial" w:hAnsi="Arial" w:cs="Arial"/>
          <w:b/>
          <w:bCs/>
        </w:rPr>
        <w:t>Direct Pay Guidance</w:t>
      </w:r>
    </w:p>
    <w:p w14:paraId="0284DAEA" w14:textId="268ABA29" w:rsidR="0060381E" w:rsidRPr="000815DC" w:rsidRDefault="0060381E" w:rsidP="0060381E">
      <w:pPr>
        <w:rPr>
          <w:rFonts w:ascii="Arial" w:hAnsi="Arial" w:cs="Arial"/>
          <w:b/>
          <w:bCs/>
          <w:sz w:val="22"/>
          <w:szCs w:val="22"/>
        </w:rPr>
      </w:pPr>
      <w:proofErr w:type="gramStart"/>
      <w:r w:rsidRPr="000815DC">
        <w:rPr>
          <w:rFonts w:ascii="Arial" w:hAnsi="Arial" w:cs="Arial"/>
          <w:sz w:val="22"/>
          <w:szCs w:val="22"/>
        </w:rPr>
        <w:t>Direct pay</w:t>
      </w:r>
      <w:proofErr w:type="gramEnd"/>
      <w:r w:rsidRPr="000815DC">
        <w:rPr>
          <w:rFonts w:ascii="Arial" w:hAnsi="Arial" w:cs="Arial"/>
          <w:sz w:val="22"/>
          <w:szCs w:val="22"/>
        </w:rPr>
        <w:t xml:space="preserve"> payments are payments made to outside entities without the need for a formal purchase order or procurement sourcing event</w:t>
      </w:r>
      <w:r w:rsidR="001D1638" w:rsidRPr="000815DC">
        <w:rPr>
          <w:rFonts w:ascii="Arial" w:hAnsi="Arial" w:cs="Arial"/>
          <w:sz w:val="22"/>
          <w:szCs w:val="22"/>
        </w:rPr>
        <w:t xml:space="preserve">. </w:t>
      </w:r>
      <w:r w:rsidRPr="000815DC">
        <w:rPr>
          <w:rFonts w:ascii="Arial" w:hAnsi="Arial" w:cs="Arial"/>
          <w:sz w:val="22"/>
          <w:szCs w:val="22"/>
        </w:rPr>
        <w:t>These types of payments are typically made for one-off, non-recurring expenses</w:t>
      </w:r>
      <w:r w:rsidR="001D1638" w:rsidRPr="000815DC">
        <w:rPr>
          <w:rFonts w:ascii="Arial" w:hAnsi="Arial" w:cs="Arial"/>
          <w:sz w:val="22"/>
          <w:szCs w:val="22"/>
        </w:rPr>
        <w:t xml:space="preserve">. </w:t>
      </w:r>
      <w:r w:rsidRPr="000815DC">
        <w:rPr>
          <w:rFonts w:ascii="Arial" w:hAnsi="Arial" w:cs="Arial"/>
          <w:sz w:val="22"/>
          <w:szCs w:val="22"/>
        </w:rPr>
        <w:t xml:space="preserve">Direct payments are often categorized into </w:t>
      </w:r>
      <w:r w:rsidR="001D1638" w:rsidRPr="000815DC">
        <w:rPr>
          <w:rFonts w:ascii="Arial" w:hAnsi="Arial" w:cs="Arial"/>
          <w:sz w:val="22"/>
          <w:szCs w:val="22"/>
        </w:rPr>
        <w:t>distinct types</w:t>
      </w:r>
      <w:r w:rsidRPr="000815DC">
        <w:rPr>
          <w:rFonts w:ascii="Arial" w:hAnsi="Arial" w:cs="Arial"/>
          <w:sz w:val="22"/>
          <w:szCs w:val="22"/>
        </w:rPr>
        <w:t xml:space="preserve"> based on the nature of the transaction</w:t>
      </w:r>
      <w:r w:rsidR="001D1638" w:rsidRPr="000815DC">
        <w:rPr>
          <w:rFonts w:ascii="Arial" w:hAnsi="Arial" w:cs="Arial"/>
          <w:sz w:val="22"/>
          <w:szCs w:val="22"/>
        </w:rPr>
        <w:t xml:space="preserve">. </w:t>
      </w:r>
      <w:r w:rsidRPr="000815DC">
        <w:rPr>
          <w:rFonts w:ascii="Arial" w:hAnsi="Arial" w:cs="Arial"/>
          <w:sz w:val="22"/>
          <w:szCs w:val="22"/>
        </w:rPr>
        <w:t>Below are predefined direct payment categories and some common examples</w:t>
      </w:r>
      <w:r w:rsidRPr="000815DC">
        <w:rPr>
          <w:rFonts w:ascii="Arial" w:hAnsi="Arial" w:cs="Arial"/>
          <w:b/>
          <w:bCs/>
          <w:sz w:val="22"/>
          <w:szCs w:val="22"/>
        </w:rPr>
        <w:t>.</w:t>
      </w:r>
      <w:r w:rsidR="00731C4B" w:rsidRPr="000815DC">
        <w:rPr>
          <w:rFonts w:ascii="Arial" w:hAnsi="Arial" w:cs="Arial"/>
          <w:b/>
          <w:bCs/>
          <w:sz w:val="22"/>
          <w:szCs w:val="22"/>
        </w:rPr>
        <w:t xml:space="preserve"> Any "after-the-fact" payment for the procurement of goods or services that fall </w:t>
      </w:r>
      <w:proofErr w:type="gramStart"/>
      <w:r w:rsidR="00731C4B" w:rsidRPr="000815DC">
        <w:rPr>
          <w:rFonts w:ascii="Arial" w:hAnsi="Arial" w:cs="Arial"/>
          <w:b/>
          <w:bCs/>
          <w:sz w:val="22"/>
          <w:szCs w:val="22"/>
        </w:rPr>
        <w:t>outside</w:t>
      </w:r>
      <w:proofErr w:type="gramEnd"/>
      <w:r w:rsidR="00731C4B" w:rsidRPr="000815DC">
        <w:rPr>
          <w:rFonts w:ascii="Arial" w:hAnsi="Arial" w:cs="Arial"/>
          <w:b/>
          <w:bCs/>
          <w:sz w:val="22"/>
          <w:szCs w:val="22"/>
        </w:rPr>
        <w:t xml:space="preserve"> of this direct pay guidance may only be made pursuant to a fully executed settlement agreement.   </w:t>
      </w:r>
    </w:p>
    <w:tbl>
      <w:tblPr>
        <w:tblW w:w="1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3240"/>
        <w:gridCol w:w="3290"/>
        <w:gridCol w:w="3045"/>
        <w:gridCol w:w="3295"/>
        <w:gridCol w:w="3240"/>
      </w:tblGrid>
      <w:tr w:rsidR="0060381E" w:rsidRPr="000815DC" w14:paraId="1BE59087" w14:textId="77777777" w:rsidTr="00744CF4">
        <w:trPr>
          <w:trHeight w:val="1140"/>
          <w:tblHeader/>
        </w:trPr>
        <w:tc>
          <w:tcPr>
            <w:tcW w:w="2605" w:type="dxa"/>
            <w:shd w:val="clear" w:color="000000" w:fill="000000"/>
            <w:vAlign w:val="bottom"/>
            <w:hideMark/>
          </w:tcPr>
          <w:p w14:paraId="674C40D4" w14:textId="77777777" w:rsidR="0060381E" w:rsidRPr="000815DC" w:rsidRDefault="0060381E" w:rsidP="00DE78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815D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Category</w:t>
            </w:r>
          </w:p>
        </w:tc>
        <w:tc>
          <w:tcPr>
            <w:tcW w:w="3240" w:type="dxa"/>
            <w:shd w:val="clear" w:color="000000" w:fill="000000"/>
            <w:vAlign w:val="bottom"/>
            <w:hideMark/>
          </w:tcPr>
          <w:p w14:paraId="735FF33B" w14:textId="77777777" w:rsidR="0060381E" w:rsidRPr="000815DC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815D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3290" w:type="dxa"/>
            <w:shd w:val="clear" w:color="000000" w:fill="000000"/>
            <w:vAlign w:val="bottom"/>
            <w:hideMark/>
          </w:tcPr>
          <w:p w14:paraId="4303260E" w14:textId="77777777" w:rsidR="0060381E" w:rsidRPr="000815DC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815D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Examples</w:t>
            </w:r>
          </w:p>
        </w:tc>
        <w:tc>
          <w:tcPr>
            <w:tcW w:w="3045" w:type="dxa"/>
            <w:shd w:val="clear" w:color="000000" w:fill="000000"/>
            <w:vAlign w:val="bottom"/>
            <w:hideMark/>
          </w:tcPr>
          <w:p w14:paraId="6AD7B83B" w14:textId="174CB4AC" w:rsidR="0060381E" w:rsidRPr="000815DC" w:rsidRDefault="0060381E" w:rsidP="00DE78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815D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Documentation Required for Payment</w:t>
            </w:r>
          </w:p>
        </w:tc>
        <w:tc>
          <w:tcPr>
            <w:tcW w:w="3295" w:type="dxa"/>
            <w:shd w:val="clear" w:color="000000" w:fill="000000"/>
            <w:vAlign w:val="bottom"/>
            <w:hideMark/>
          </w:tcPr>
          <w:p w14:paraId="70C3A4C5" w14:textId="77777777" w:rsidR="0060381E" w:rsidRPr="000815DC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815D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Exclusions</w:t>
            </w:r>
          </w:p>
        </w:tc>
        <w:tc>
          <w:tcPr>
            <w:tcW w:w="3240" w:type="dxa"/>
            <w:shd w:val="clear" w:color="000000" w:fill="000000"/>
            <w:vAlign w:val="bottom"/>
            <w:hideMark/>
          </w:tcPr>
          <w:p w14:paraId="1C9504CB" w14:textId="77777777" w:rsidR="0060381E" w:rsidRPr="000815DC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815D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Other Notes</w:t>
            </w:r>
          </w:p>
        </w:tc>
      </w:tr>
      <w:tr w:rsidR="0060381E" w:rsidRPr="00DE783A" w14:paraId="2B7F86DA" w14:textId="77777777" w:rsidTr="00744CF4">
        <w:trPr>
          <w:trHeight w:val="2496"/>
        </w:trPr>
        <w:tc>
          <w:tcPr>
            <w:tcW w:w="2605" w:type="dxa"/>
            <w:shd w:val="clear" w:color="auto" w:fill="auto"/>
            <w:vAlign w:val="center"/>
            <w:hideMark/>
          </w:tcPr>
          <w:p w14:paraId="50E64809" w14:textId="77777777" w:rsidR="0060381E" w:rsidRPr="00DE783A" w:rsidRDefault="0060381E" w:rsidP="0060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Non-Employee Payments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2D665591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Payments to non-employee individuals for services or reimbursements without an agreement.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49ED5C6A" w14:textId="5B854739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Payments to athletic officials, freelancers, speakers, guest </w:t>
            </w:r>
            <w:r w:rsidR="001D1638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lecturers, speaker</w:t>
            </w: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fees, candidate interview reimbursements, student or non-employee travel reimbursements, co-op teacher </w:t>
            </w:r>
            <w:r w:rsidRPr="005612D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stipends</w:t>
            </w:r>
            <w:r w:rsidR="002F5F1A" w:rsidRPr="005612D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, outside legal counsel</w:t>
            </w:r>
            <w:r w:rsidRPr="005612D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.</w:t>
            </w: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  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14:paraId="31FF25F3" w14:textId="38A66C25" w:rsidR="0060381E" w:rsidRPr="00DE783A" w:rsidRDefault="002F5F1A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612D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Invoice or </w:t>
            </w:r>
            <w:r w:rsidR="0060381E" w:rsidRPr="005612D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Appropriate travel receipts, where</w:t>
            </w:r>
            <w:r w:rsidR="0060381E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applicable</w:t>
            </w:r>
            <w:r w:rsidR="001D1638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.  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245FB425" w14:textId="2AAB4520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Below Bid Threshold Only</w:t>
            </w:r>
            <w:r w:rsidR="001D1638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.  </w:t>
            </w: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Direct payments in this category are intended to be below the then-effective bidding threshold</w:t>
            </w:r>
            <w:r w:rsidR="001D1638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. </w:t>
            </w: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If any expense in this category is to exceed the bid threshold, it should be processed through procurement for competitive sourcing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533BAD98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3F883FF2" w14:textId="77777777" w:rsidR="001B6463" w:rsidRPr="00DE783A" w:rsidRDefault="001B6463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3E788D0C" w14:textId="77777777" w:rsidR="001B6463" w:rsidRPr="00DE783A" w:rsidRDefault="001B6463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59DC0F71" w14:textId="77777777" w:rsidR="001B6463" w:rsidRPr="00DE783A" w:rsidRDefault="001B6463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19378CB9" w14:textId="77777777" w:rsidR="001B6463" w:rsidRPr="00DE783A" w:rsidRDefault="001B6463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3E441750" w14:textId="77777777" w:rsidR="001B6463" w:rsidRPr="00DE783A" w:rsidRDefault="001B6463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732E21D1" w14:textId="77777777" w:rsidR="001B6463" w:rsidRPr="00DE783A" w:rsidRDefault="001B6463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28713365" w14:textId="77777777" w:rsidR="001B6463" w:rsidRPr="00DE783A" w:rsidRDefault="001B6463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18D484F2" w14:textId="77777777" w:rsidR="001B6463" w:rsidRPr="00DE783A" w:rsidRDefault="001B6463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068EB341" w14:textId="77777777" w:rsidR="001B6463" w:rsidRPr="00DE783A" w:rsidRDefault="001B6463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60381E" w:rsidRPr="00DE783A" w14:paraId="27197B7E" w14:textId="77777777" w:rsidTr="00E362BC">
        <w:trPr>
          <w:trHeight w:val="818"/>
        </w:trPr>
        <w:tc>
          <w:tcPr>
            <w:tcW w:w="2605" w:type="dxa"/>
            <w:shd w:val="clear" w:color="auto" w:fill="auto"/>
            <w:vAlign w:val="center"/>
            <w:hideMark/>
          </w:tcPr>
          <w:p w14:paraId="5665228D" w14:textId="77777777" w:rsidR="0060381E" w:rsidRPr="00DE783A" w:rsidRDefault="0060381E" w:rsidP="0060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Utility Payments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00EB4E66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Payments for ongoing operational needs to utility providers.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5E2B43FE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Monthly bills for electricity, water, gas, internet, and phone services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14:paraId="3CDC562B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6BE28E54" w14:textId="77B2BB7A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The State System has strategic sourcing contracts in place that competitively source utility supply, where available. State System Universities may direct pay all utility invoices for supply and distribution</w:t>
            </w:r>
            <w:r w:rsidR="001D1638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. </w:t>
            </w: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However, they do not have the authority to select a supplier outside of the State System’s strategic sourcing initiatives.  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6D7B1D21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60381E" w:rsidRPr="00DE783A" w14:paraId="082B36FB" w14:textId="77777777" w:rsidTr="00744CF4">
        <w:trPr>
          <w:trHeight w:val="1560"/>
        </w:trPr>
        <w:tc>
          <w:tcPr>
            <w:tcW w:w="2605" w:type="dxa"/>
            <w:shd w:val="clear" w:color="auto" w:fill="auto"/>
            <w:vAlign w:val="center"/>
            <w:hideMark/>
          </w:tcPr>
          <w:p w14:paraId="17A35808" w14:textId="77777777" w:rsidR="0060381E" w:rsidRPr="00DE783A" w:rsidRDefault="0060381E" w:rsidP="0060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Membership Fees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7074FAC7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Payments made for recurring memberships that provide access to professional organizations, or journals that benefit the organization.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52C59642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Professional membership dues, journal subscriptions.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14:paraId="01224676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1AF5C03C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60DC8D72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</w:tr>
      <w:tr w:rsidR="0060381E" w:rsidRPr="00DE783A" w14:paraId="08BD08B6" w14:textId="77777777" w:rsidTr="00744CF4">
        <w:trPr>
          <w:trHeight w:val="1248"/>
        </w:trPr>
        <w:tc>
          <w:tcPr>
            <w:tcW w:w="2605" w:type="dxa"/>
            <w:shd w:val="clear" w:color="auto" w:fill="auto"/>
            <w:vAlign w:val="center"/>
            <w:hideMark/>
          </w:tcPr>
          <w:p w14:paraId="7CE8EDD5" w14:textId="77777777" w:rsidR="0060381E" w:rsidRPr="00DE783A" w:rsidRDefault="0060381E" w:rsidP="0060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Government Entities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0EF8FC7E" w14:textId="685C6FE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Payments made to government agencies for various regulatory requirements, licenses, permits, other official fees</w:t>
            </w:r>
            <w:r w:rsidR="001D1638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.  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00FB27D9" w14:textId="14B5F5AF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Business license fees, regulatory fees, insurance payments to DGS/FARM, postage</w:t>
            </w:r>
            <w:r w:rsidR="001D1638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.  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14:paraId="3E345A8B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79824E80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170A7F29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</w:tr>
      <w:tr w:rsidR="0060381E" w:rsidRPr="00DE783A" w14:paraId="7A695982" w14:textId="77777777" w:rsidTr="00744CF4">
        <w:trPr>
          <w:trHeight w:val="1560"/>
        </w:trPr>
        <w:tc>
          <w:tcPr>
            <w:tcW w:w="2605" w:type="dxa"/>
            <w:shd w:val="clear" w:color="auto" w:fill="auto"/>
            <w:vAlign w:val="center"/>
            <w:hideMark/>
          </w:tcPr>
          <w:p w14:paraId="5703E62A" w14:textId="73EDD8FB" w:rsidR="0060381E" w:rsidRPr="00DE783A" w:rsidRDefault="0060381E" w:rsidP="0060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Colleges, Universities, </w:t>
            </w:r>
            <w:r w:rsidR="001B6463" w:rsidRPr="00DE78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Accreditation</w:t>
            </w:r>
            <w:r w:rsidRPr="00DE78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Entities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4BA1AE00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Payments made to non-profit educational institutions and accreditation organizations for services related to education and certification.  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149D208D" w14:textId="6D7ACD6B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Accreditation fees, membership </w:t>
            </w:r>
            <w:proofErr w:type="gramStart"/>
            <w:r w:rsidRPr="00DE783A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dues</w:t>
            </w:r>
            <w:proofErr w:type="gramEnd"/>
            <w:r w:rsidRPr="00DE783A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to educational consortia, affiliate reimbursements.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14:paraId="6AF67FEF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0D96F54E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734D6003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</w:tr>
      <w:tr w:rsidR="0060381E" w:rsidRPr="00DE783A" w14:paraId="226CFB65" w14:textId="77777777" w:rsidTr="00744CF4">
        <w:trPr>
          <w:trHeight w:val="1248"/>
        </w:trPr>
        <w:tc>
          <w:tcPr>
            <w:tcW w:w="2605" w:type="dxa"/>
            <w:shd w:val="clear" w:color="auto" w:fill="auto"/>
            <w:vAlign w:val="center"/>
            <w:hideMark/>
          </w:tcPr>
          <w:p w14:paraId="369BCB56" w14:textId="77777777" w:rsidR="0060381E" w:rsidRPr="00DE783A" w:rsidRDefault="0060381E" w:rsidP="0060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Refunds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11D46681" w14:textId="1D13DF78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Payments made to return funds to students or other entities due to overpayments, cancellations, or unused funds</w:t>
            </w:r>
            <w:r w:rsidR="001D1638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.  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1C6D288D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Student refunds, scholarship refunds, returning unused grant funds.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14:paraId="22B959DA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3BB8D59D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3CE7C492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</w:tr>
      <w:tr w:rsidR="0060381E" w:rsidRPr="00DE783A" w14:paraId="3B510306" w14:textId="77777777" w:rsidTr="00E362BC">
        <w:trPr>
          <w:trHeight w:val="638"/>
        </w:trPr>
        <w:tc>
          <w:tcPr>
            <w:tcW w:w="2605" w:type="dxa"/>
            <w:shd w:val="clear" w:color="auto" w:fill="auto"/>
            <w:vAlign w:val="center"/>
            <w:hideMark/>
          </w:tcPr>
          <w:p w14:paraId="49F509D0" w14:textId="77777777" w:rsidR="0060381E" w:rsidRPr="00DE783A" w:rsidRDefault="0060381E" w:rsidP="0060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Grants, Subawards, Return of Grant Funds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58864C46" w14:textId="05AA041A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Payments to grant awardees based on sub-awards and payments made to return funds to </w:t>
            </w:r>
            <w:r w:rsidR="00C85EAD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the grant</w:t>
            </w: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agency</w:t>
            </w:r>
            <w:r w:rsidR="001D1638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.  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3328FFDC" w14:textId="752572C5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Grant sub-award payments</w:t>
            </w:r>
            <w:r w:rsidR="001D1638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.  </w:t>
            </w: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Return funds to </w:t>
            </w:r>
            <w:r w:rsidR="00C85EAD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a grant</w:t>
            </w: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agency</w:t>
            </w:r>
            <w:r w:rsidR="00DE783A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14:paraId="46EC5A03" w14:textId="479E5311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Fully executed grant or subaward agreement, with appropriate legal approval for form and legality</w:t>
            </w:r>
            <w:r w:rsidR="001D1638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.  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7445FCAE" w14:textId="239ADAD1" w:rsidR="0060381E" w:rsidRPr="00DE783A" w:rsidRDefault="001D1638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Does not</w:t>
            </w:r>
            <w:r w:rsidR="0060381E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include services, materials or supplies purchased in furtherance of a grant award</w:t>
            </w: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. </w:t>
            </w:r>
            <w:r w:rsidR="0060381E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These should be processed as a procurement.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3BFB8603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60381E" w:rsidRPr="00DE783A" w14:paraId="74A1289F" w14:textId="77777777" w:rsidTr="00744CF4">
        <w:trPr>
          <w:trHeight w:val="1560"/>
        </w:trPr>
        <w:tc>
          <w:tcPr>
            <w:tcW w:w="2605" w:type="dxa"/>
            <w:shd w:val="clear" w:color="auto" w:fill="auto"/>
            <w:vAlign w:val="center"/>
            <w:hideMark/>
          </w:tcPr>
          <w:p w14:paraId="2DEDC02B" w14:textId="5DC0008F" w:rsidR="0060381E" w:rsidRPr="00DE783A" w:rsidRDefault="0060381E" w:rsidP="0060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M</w:t>
            </w:r>
            <w:r w:rsidR="00DE783A" w:rsidRPr="00DE78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emorandum of Understanding (MOU)</w:t>
            </w:r>
            <w:r w:rsidRPr="00DE78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and Affiliation Agreements</w:t>
            </w: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14F1F3F0" w14:textId="220C73A5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Payments made under a MOU, or affiliation agreement, between the university and another entity.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2127E826" w14:textId="29E26649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Payments to partner institutions for collaborative projects and education opportunities, payments to external organizations for joint research initiatives, shared faculty/staff, shared courses, tuition waivers.  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14:paraId="1301C8DB" w14:textId="1D44F24B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Fully executed MOU or affiliation agreement, with appropriate legal approval for form and legality</w:t>
            </w:r>
            <w:r w:rsidR="001D1638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.  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4683453C" w14:textId="1B2765FA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Does not include the provision of any service, material or supplies by a partner institution or affiliated entity. These should be processed as a procurement.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3503FA2C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60381E" w:rsidRPr="00DE783A" w14:paraId="3CC4EA89" w14:textId="77777777" w:rsidTr="00744CF4">
        <w:trPr>
          <w:trHeight w:val="1872"/>
        </w:trPr>
        <w:tc>
          <w:tcPr>
            <w:tcW w:w="2605" w:type="dxa"/>
            <w:shd w:val="clear" w:color="auto" w:fill="auto"/>
            <w:vAlign w:val="center"/>
            <w:hideMark/>
          </w:tcPr>
          <w:p w14:paraId="65A05644" w14:textId="77777777" w:rsidR="0060381E" w:rsidRPr="00DE783A" w:rsidRDefault="0060381E" w:rsidP="0060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Employee Travel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531A6E4E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Payments made to employees to cover expenses incurred during business-related travel.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38068CFD" w14:textId="3EF2586B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Reimbursement for airfare, hotel stays, meals, transportation, conference fees, and other travel-related expenses</w:t>
            </w:r>
            <w:r w:rsidR="001D1638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.  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14:paraId="6E5B99E7" w14:textId="10F4C92C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Appropriate travel receipts and business justification</w:t>
            </w:r>
            <w:r w:rsidR="001D1638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.  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4B2C2482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77817726" w14:textId="5A1A6D36" w:rsidR="00DE783A" w:rsidRPr="00DE783A" w:rsidRDefault="0060381E" w:rsidP="00DE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Travel reimbursements must comply with State System Travel Policy: </w:t>
            </w:r>
            <w:hyperlink r:id="rId9" w:history="1">
              <w:r w:rsidR="00DE783A" w:rsidRPr="00710F2F">
                <w:rPr>
                  <w:rStyle w:val="Hyperlink"/>
                  <w:rFonts w:ascii="Arial" w:eastAsia="Times New Roman" w:hAnsi="Arial" w:cs="Arial"/>
                  <w:kern w:val="0"/>
                  <w:sz w:val="21"/>
                  <w:szCs w:val="21"/>
                  <w14:ligatures w14:val="none"/>
                </w:rPr>
                <w:t>https://www.passhe.edu/policies/documents/BOG_Policies/Policy%201986-07-A.pdf</w:t>
              </w:r>
            </w:hyperlink>
          </w:p>
        </w:tc>
      </w:tr>
      <w:tr w:rsidR="0060381E" w:rsidRPr="00DE783A" w14:paraId="3762524A" w14:textId="77777777" w:rsidTr="00744CF4">
        <w:trPr>
          <w:trHeight w:val="1872"/>
        </w:trPr>
        <w:tc>
          <w:tcPr>
            <w:tcW w:w="2605" w:type="dxa"/>
            <w:shd w:val="clear" w:color="auto" w:fill="auto"/>
            <w:vAlign w:val="center"/>
            <w:hideMark/>
          </w:tcPr>
          <w:p w14:paraId="69665BD0" w14:textId="77777777" w:rsidR="0060381E" w:rsidRPr="00DE783A" w:rsidRDefault="0060381E" w:rsidP="0060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Legal Payments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16DD36CC" w14:textId="33E22C65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Payments for obligations related to lawsuits</w:t>
            </w:r>
            <w:r w:rsidR="001D1638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.  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3F8BE9BB" w14:textId="42DC885C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Payments of legal settlements, verdicts, court fees, penalties</w:t>
            </w:r>
            <w:r w:rsid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14:paraId="7592788E" w14:textId="03184AE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Fully executed settlement agreement or court order, with appropriate legal approval for form and legality</w:t>
            </w:r>
            <w:r w:rsidR="001D1638" w:rsidRPr="00DE783A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.  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0F27E6AF" w14:textId="77777777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08C98E3C" w14:textId="1AB10262" w:rsidR="0060381E" w:rsidRPr="00DE783A" w:rsidRDefault="0060381E" w:rsidP="0060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Any "after the fact" payment for the procurement of goods or services that fall outside of this direct pay guidance must be pursuant to a fully executed settlement agreement</w:t>
            </w:r>
            <w:r w:rsidR="001D1638"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.  </w:t>
            </w:r>
          </w:p>
        </w:tc>
      </w:tr>
      <w:tr w:rsidR="00731C4B" w:rsidRPr="00DE783A" w14:paraId="23D364D9" w14:textId="77777777" w:rsidTr="00744CF4">
        <w:trPr>
          <w:trHeight w:val="1872"/>
        </w:trPr>
        <w:tc>
          <w:tcPr>
            <w:tcW w:w="2605" w:type="dxa"/>
            <w:shd w:val="clear" w:color="auto" w:fill="auto"/>
            <w:vAlign w:val="center"/>
          </w:tcPr>
          <w:tbl>
            <w:tblPr>
              <w:tblW w:w="22760" w:type="dxa"/>
              <w:tblLook w:val="04A0" w:firstRow="1" w:lastRow="0" w:firstColumn="1" w:lastColumn="0" w:noHBand="0" w:noVBand="1"/>
            </w:tblPr>
            <w:tblGrid>
              <w:gridCol w:w="3260"/>
              <w:gridCol w:w="3820"/>
              <w:gridCol w:w="5260"/>
              <w:gridCol w:w="3320"/>
              <w:gridCol w:w="3940"/>
              <w:gridCol w:w="3160"/>
            </w:tblGrid>
            <w:tr w:rsidR="00731C4B" w:rsidRPr="00DE783A" w14:paraId="2E1AF423" w14:textId="77777777" w:rsidTr="00731C4B">
              <w:trPr>
                <w:trHeight w:val="2205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0C5B64" w14:textId="4B321752" w:rsidR="00731C4B" w:rsidRPr="00DE783A" w:rsidRDefault="00731C4B" w:rsidP="00731C4B">
                  <w:pPr>
                    <w:spacing w:after="0" w:line="240" w:lineRule="auto"/>
                    <w:ind w:right="840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</w:pPr>
                  <w:r w:rsidRPr="00DE783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Additional Dining Services - Process in </w:t>
                  </w:r>
                  <w:r w:rsidR="00B315D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A</w:t>
                  </w:r>
                  <w:r w:rsidRPr="00DE783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ccordance with </w:t>
                  </w:r>
                  <w:r w:rsidR="00B315D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C</w:t>
                  </w:r>
                  <w:r w:rsidRPr="00DE783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urrent </w:t>
                  </w:r>
                  <w:r w:rsidR="00B315D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U</w:t>
                  </w:r>
                  <w:r w:rsidRPr="00DE783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niversity </w:t>
                  </w:r>
                  <w:r w:rsidR="00B315D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P</w:t>
                  </w:r>
                  <w:r w:rsidR="00DE783A" w:rsidRPr="00DE783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rocedures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1B05B1" w14:textId="77777777" w:rsidR="00731C4B" w:rsidRPr="00DE783A" w:rsidRDefault="00731C4B" w:rsidP="00731C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</w:pPr>
                  <w:r w:rsidRPr="00DE783A"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Payments to dining services suppliers, for services other than student meal plans under the dining services contract. </w:t>
                  </w:r>
                </w:p>
              </w:tc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B5FC3F" w14:textId="77777777" w:rsidR="00731C4B" w:rsidRPr="00DE783A" w:rsidRDefault="00731C4B" w:rsidP="00731C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</w:pPr>
                  <w:r w:rsidRPr="00DE783A"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Payment for catering services. 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9A9F0E" w14:textId="77777777" w:rsidR="00731C4B" w:rsidRPr="00DE783A" w:rsidRDefault="00731C4B" w:rsidP="00731C4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  <w:r w:rsidRPr="00DE783A"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14:ligatures w14:val="none"/>
                    </w:rPr>
                    <w:t xml:space="preserve">Payment must be made to the university's awarded dining services vendor, for services that are included </w:t>
                  </w:r>
                  <w:proofErr w:type="gramStart"/>
                  <w:r w:rsidRPr="00DE783A"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14:ligatures w14:val="none"/>
                    </w:rPr>
                    <w:t>within  the</w:t>
                  </w:r>
                  <w:proofErr w:type="gramEnd"/>
                  <w:r w:rsidRPr="00DE783A"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14:ligatures w14:val="none"/>
                    </w:rPr>
                    <w:t xml:space="preserve"> scope of work of the university's dining services contract.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D4BAD4" w14:textId="77777777" w:rsidR="00731C4B" w:rsidRPr="00DE783A" w:rsidRDefault="00731C4B" w:rsidP="00731C4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103054" w14:textId="77777777" w:rsidR="00731C4B" w:rsidRPr="00DE783A" w:rsidRDefault="00731C4B" w:rsidP="00731C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</w:pPr>
                  <w:r w:rsidRPr="00DE783A"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Although covered by a procurement contract, payments </w:t>
                  </w:r>
                  <w:r w:rsidRPr="00DE783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may</w:t>
                  </w:r>
                  <w:r w:rsidRPr="00DE783A"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 be made by direct pay, rather than the issuance of a PR/PO if currently allowed by the university.</w:t>
                  </w:r>
                </w:p>
              </w:tc>
            </w:tr>
          </w:tbl>
          <w:p w14:paraId="1A973F5B" w14:textId="77777777" w:rsidR="00731C4B" w:rsidRPr="00DE783A" w:rsidRDefault="00731C4B" w:rsidP="00731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7664CCB" w14:textId="06B5D278" w:rsidR="00731C4B" w:rsidRPr="00DE783A" w:rsidRDefault="00731C4B" w:rsidP="00731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hAnsi="Arial" w:cs="Arial"/>
                <w:color w:val="000000"/>
                <w:sz w:val="21"/>
                <w:szCs w:val="21"/>
              </w:rPr>
              <w:t>Payments to dining services suppliers, for services other than student meal plans under the dining services contract.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6A9CDB92" w14:textId="22CA99F0" w:rsidR="00731C4B" w:rsidRPr="00DE783A" w:rsidRDefault="00731C4B" w:rsidP="00731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hAnsi="Arial" w:cs="Arial"/>
                <w:color w:val="000000"/>
                <w:sz w:val="21"/>
                <w:szCs w:val="21"/>
              </w:rPr>
              <w:t xml:space="preserve">Payment for catering services. 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EA05B90" w14:textId="399EDCE3" w:rsidR="00731C4B" w:rsidRPr="00DE783A" w:rsidRDefault="00731C4B" w:rsidP="00731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hAnsi="Arial" w:cs="Arial"/>
                <w:sz w:val="21"/>
                <w:szCs w:val="21"/>
              </w:rPr>
              <w:t>Payment must be made to the university's awarded dining services vendor, for services that are included within the scope of work of the university's dining services contract.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08E56FE5" w14:textId="77777777" w:rsidR="00731C4B" w:rsidRPr="00DE783A" w:rsidRDefault="00731C4B" w:rsidP="00731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50249BB" w14:textId="59FBB982" w:rsidR="00731C4B" w:rsidRPr="00DE783A" w:rsidRDefault="00731C4B" w:rsidP="00731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E78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Although covered by a procurement contract, payments may be made by direct pay, rather than the issuance of a PR/PO if currently allowed by the university.</w:t>
            </w:r>
          </w:p>
        </w:tc>
      </w:tr>
    </w:tbl>
    <w:p w14:paraId="24E4341D" w14:textId="77777777" w:rsidR="0060381E" w:rsidRPr="00DE783A" w:rsidRDefault="0060381E" w:rsidP="0060381E">
      <w:pPr>
        <w:rPr>
          <w:rFonts w:ascii="Arial" w:hAnsi="Arial" w:cs="Arial"/>
          <w:b/>
          <w:bCs/>
          <w:sz w:val="21"/>
          <w:szCs w:val="21"/>
        </w:rPr>
      </w:pPr>
    </w:p>
    <w:sectPr w:rsidR="0060381E" w:rsidRPr="00DE783A" w:rsidSect="00063AE5">
      <w:pgSz w:w="20160" w:h="12240" w:orient="landscape" w:code="5"/>
      <w:pgMar w:top="1296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8FD2"/>
    <w:multiLevelType w:val="hybridMultilevel"/>
    <w:tmpl w:val="769A7CC4"/>
    <w:lvl w:ilvl="0" w:tplc="06704178">
      <w:start w:val="1"/>
      <w:numFmt w:val="upperLetter"/>
      <w:lvlText w:val="%1."/>
      <w:lvlJc w:val="left"/>
      <w:pPr>
        <w:ind w:left="1080" w:hanging="360"/>
      </w:pPr>
    </w:lvl>
    <w:lvl w:ilvl="1" w:tplc="12D60B06">
      <w:start w:val="1"/>
      <w:numFmt w:val="lowerLetter"/>
      <w:lvlText w:val="%2."/>
      <w:lvlJc w:val="left"/>
      <w:pPr>
        <w:ind w:left="1800" w:hanging="360"/>
      </w:pPr>
    </w:lvl>
    <w:lvl w:ilvl="2" w:tplc="57860826">
      <w:start w:val="1"/>
      <w:numFmt w:val="lowerRoman"/>
      <w:lvlText w:val="%3."/>
      <w:lvlJc w:val="right"/>
      <w:pPr>
        <w:ind w:left="2520" w:hanging="180"/>
      </w:pPr>
    </w:lvl>
    <w:lvl w:ilvl="3" w:tplc="D4E032DC">
      <w:start w:val="1"/>
      <w:numFmt w:val="decimal"/>
      <w:lvlText w:val="%4."/>
      <w:lvlJc w:val="left"/>
      <w:pPr>
        <w:ind w:left="3240" w:hanging="360"/>
      </w:pPr>
    </w:lvl>
    <w:lvl w:ilvl="4" w:tplc="8C200B5A">
      <w:start w:val="1"/>
      <w:numFmt w:val="lowerLetter"/>
      <w:lvlText w:val="%5."/>
      <w:lvlJc w:val="left"/>
      <w:pPr>
        <w:ind w:left="3960" w:hanging="360"/>
      </w:pPr>
    </w:lvl>
    <w:lvl w:ilvl="5" w:tplc="EF10DBFE">
      <w:start w:val="1"/>
      <w:numFmt w:val="lowerRoman"/>
      <w:lvlText w:val="%6."/>
      <w:lvlJc w:val="right"/>
      <w:pPr>
        <w:ind w:left="4680" w:hanging="180"/>
      </w:pPr>
    </w:lvl>
    <w:lvl w:ilvl="6" w:tplc="4AA86226">
      <w:start w:val="1"/>
      <w:numFmt w:val="decimal"/>
      <w:lvlText w:val="%7."/>
      <w:lvlJc w:val="left"/>
      <w:pPr>
        <w:ind w:left="5400" w:hanging="360"/>
      </w:pPr>
    </w:lvl>
    <w:lvl w:ilvl="7" w:tplc="AD88BFE4">
      <w:start w:val="1"/>
      <w:numFmt w:val="lowerLetter"/>
      <w:lvlText w:val="%8."/>
      <w:lvlJc w:val="left"/>
      <w:pPr>
        <w:ind w:left="6120" w:hanging="360"/>
      </w:pPr>
    </w:lvl>
    <w:lvl w:ilvl="8" w:tplc="2360A674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22371"/>
    <w:multiLevelType w:val="hybridMultilevel"/>
    <w:tmpl w:val="A52E7684"/>
    <w:lvl w:ilvl="0" w:tplc="41B673E4">
      <w:start w:val="1"/>
      <w:numFmt w:val="upperLetter"/>
      <w:lvlText w:val="%1."/>
      <w:lvlJc w:val="left"/>
      <w:pPr>
        <w:ind w:left="1080" w:hanging="360"/>
      </w:pPr>
    </w:lvl>
    <w:lvl w:ilvl="1" w:tplc="7840BDE6">
      <w:start w:val="1"/>
      <w:numFmt w:val="lowerLetter"/>
      <w:lvlText w:val="%2."/>
      <w:lvlJc w:val="left"/>
      <w:pPr>
        <w:ind w:left="1800" w:hanging="360"/>
      </w:pPr>
    </w:lvl>
    <w:lvl w:ilvl="2" w:tplc="CCA45AE2">
      <w:start w:val="1"/>
      <w:numFmt w:val="lowerRoman"/>
      <w:lvlText w:val="%3."/>
      <w:lvlJc w:val="right"/>
      <w:pPr>
        <w:ind w:left="2520" w:hanging="180"/>
      </w:pPr>
    </w:lvl>
    <w:lvl w:ilvl="3" w:tplc="F5C2DC32">
      <w:start w:val="1"/>
      <w:numFmt w:val="decimal"/>
      <w:lvlText w:val="%4."/>
      <w:lvlJc w:val="left"/>
      <w:pPr>
        <w:ind w:left="3240" w:hanging="360"/>
      </w:pPr>
    </w:lvl>
    <w:lvl w:ilvl="4" w:tplc="17A4585A">
      <w:start w:val="1"/>
      <w:numFmt w:val="lowerLetter"/>
      <w:lvlText w:val="%5."/>
      <w:lvlJc w:val="left"/>
      <w:pPr>
        <w:ind w:left="3960" w:hanging="360"/>
      </w:pPr>
    </w:lvl>
    <w:lvl w:ilvl="5" w:tplc="0A1ACFA4">
      <w:start w:val="1"/>
      <w:numFmt w:val="lowerRoman"/>
      <w:lvlText w:val="%6."/>
      <w:lvlJc w:val="right"/>
      <w:pPr>
        <w:ind w:left="4680" w:hanging="180"/>
      </w:pPr>
    </w:lvl>
    <w:lvl w:ilvl="6" w:tplc="42CAB908">
      <w:start w:val="1"/>
      <w:numFmt w:val="decimal"/>
      <w:lvlText w:val="%7."/>
      <w:lvlJc w:val="left"/>
      <w:pPr>
        <w:ind w:left="5400" w:hanging="360"/>
      </w:pPr>
    </w:lvl>
    <w:lvl w:ilvl="7" w:tplc="E200A69E">
      <w:start w:val="1"/>
      <w:numFmt w:val="lowerLetter"/>
      <w:lvlText w:val="%8."/>
      <w:lvlJc w:val="left"/>
      <w:pPr>
        <w:ind w:left="6120" w:hanging="360"/>
      </w:pPr>
    </w:lvl>
    <w:lvl w:ilvl="8" w:tplc="7AB61E5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54290"/>
    <w:multiLevelType w:val="hybridMultilevel"/>
    <w:tmpl w:val="ACC47032"/>
    <w:lvl w:ilvl="0" w:tplc="14928500">
      <w:start w:val="1"/>
      <w:numFmt w:val="upperLetter"/>
      <w:lvlText w:val="%1."/>
      <w:lvlJc w:val="left"/>
      <w:pPr>
        <w:ind w:left="1080" w:hanging="360"/>
      </w:pPr>
    </w:lvl>
    <w:lvl w:ilvl="1" w:tplc="B19A025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28008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F2EB0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944E1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688332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5682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9EA51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05C89F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9C15E5"/>
    <w:multiLevelType w:val="hybridMultilevel"/>
    <w:tmpl w:val="D89213F4"/>
    <w:lvl w:ilvl="0" w:tplc="F1140D44">
      <w:start w:val="1"/>
      <w:numFmt w:val="upperLetter"/>
      <w:lvlText w:val="%1."/>
      <w:lvlJc w:val="left"/>
      <w:pPr>
        <w:ind w:left="720" w:hanging="360"/>
      </w:pPr>
    </w:lvl>
    <w:lvl w:ilvl="1" w:tplc="62DCF708">
      <w:start w:val="1"/>
      <w:numFmt w:val="decimal"/>
      <w:lvlText w:val="(%2)"/>
      <w:lvlJc w:val="left"/>
      <w:pPr>
        <w:ind w:left="1440" w:hanging="360"/>
      </w:pPr>
    </w:lvl>
    <w:lvl w:ilvl="2" w:tplc="B0F8B050">
      <w:start w:val="1"/>
      <w:numFmt w:val="lowerLetter"/>
      <w:lvlText w:val="(%3)"/>
      <w:lvlJc w:val="left"/>
      <w:pPr>
        <w:ind w:left="2160" w:hanging="360"/>
      </w:pPr>
    </w:lvl>
    <w:lvl w:ilvl="3" w:tplc="9B685376" w:tentative="1">
      <w:start w:val="1"/>
      <w:numFmt w:val="decimal"/>
      <w:lvlText w:val="(%4)"/>
      <w:lvlJc w:val="left"/>
      <w:pPr>
        <w:ind w:left="2880" w:hanging="360"/>
      </w:pPr>
    </w:lvl>
    <w:lvl w:ilvl="4" w:tplc="52A28952" w:tentative="1">
      <w:start w:val="1"/>
      <w:numFmt w:val="lowerLetter"/>
      <w:lvlText w:val="(%5)"/>
      <w:lvlJc w:val="left"/>
      <w:pPr>
        <w:ind w:left="3600" w:hanging="360"/>
      </w:pPr>
    </w:lvl>
    <w:lvl w:ilvl="5" w:tplc="743EC87A" w:tentative="1">
      <w:start w:val="1"/>
      <w:numFmt w:val="lowerRoman"/>
      <w:lvlText w:val="(%6)"/>
      <w:lvlJc w:val="right"/>
      <w:pPr>
        <w:ind w:left="4320" w:hanging="360"/>
      </w:pPr>
    </w:lvl>
    <w:lvl w:ilvl="6" w:tplc="93A25BE6" w:tentative="1">
      <w:start w:val="1"/>
      <w:numFmt w:val="decimal"/>
      <w:lvlText w:val="%7."/>
      <w:lvlJc w:val="left"/>
      <w:pPr>
        <w:ind w:left="5040" w:hanging="360"/>
      </w:pPr>
    </w:lvl>
    <w:lvl w:ilvl="7" w:tplc="FDF097CC" w:tentative="1">
      <w:start w:val="1"/>
      <w:numFmt w:val="lowerLetter"/>
      <w:lvlText w:val="%8."/>
      <w:lvlJc w:val="left"/>
      <w:pPr>
        <w:ind w:left="5760" w:hanging="360"/>
      </w:pPr>
    </w:lvl>
    <w:lvl w:ilvl="8" w:tplc="D5A81CA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A7D6979"/>
    <w:multiLevelType w:val="hybridMultilevel"/>
    <w:tmpl w:val="3B3239EE"/>
    <w:lvl w:ilvl="0" w:tplc="E480BA42">
      <w:start w:val="1"/>
      <w:numFmt w:val="upperLetter"/>
      <w:lvlText w:val="%1."/>
      <w:lvlJc w:val="left"/>
      <w:pPr>
        <w:ind w:left="1080" w:hanging="360"/>
      </w:pPr>
    </w:lvl>
    <w:lvl w:ilvl="1" w:tplc="EE8C10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6B69F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18C787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21EDA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262E4F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B74FE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BCF7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93A10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1559C9"/>
    <w:multiLevelType w:val="hybridMultilevel"/>
    <w:tmpl w:val="1A0E0422"/>
    <w:lvl w:ilvl="0" w:tplc="CB4007F2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4A726D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764E0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5CD9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DAC9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AD8D3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C9B4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448FC9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042639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5153E0"/>
    <w:multiLevelType w:val="hybridMultilevel"/>
    <w:tmpl w:val="5D285888"/>
    <w:lvl w:ilvl="0" w:tplc="C748C53E">
      <w:start w:val="1"/>
      <w:numFmt w:val="upperLetter"/>
      <w:lvlText w:val="%1."/>
      <w:lvlJc w:val="left"/>
      <w:pPr>
        <w:ind w:left="1080" w:hanging="360"/>
      </w:pPr>
    </w:lvl>
    <w:lvl w:ilvl="1" w:tplc="623AAB10">
      <w:start w:val="1"/>
      <w:numFmt w:val="lowerLetter"/>
      <w:lvlText w:val="%2."/>
      <w:lvlJc w:val="left"/>
      <w:pPr>
        <w:ind w:left="1800" w:hanging="360"/>
      </w:pPr>
    </w:lvl>
    <w:lvl w:ilvl="2" w:tplc="2A4AA792">
      <w:start w:val="1"/>
      <w:numFmt w:val="lowerRoman"/>
      <w:lvlText w:val="%3."/>
      <w:lvlJc w:val="right"/>
      <w:pPr>
        <w:ind w:left="2520" w:hanging="180"/>
      </w:pPr>
    </w:lvl>
    <w:lvl w:ilvl="3" w:tplc="06D8CB02">
      <w:start w:val="1"/>
      <w:numFmt w:val="decimal"/>
      <w:lvlText w:val="%4."/>
      <w:lvlJc w:val="left"/>
      <w:pPr>
        <w:ind w:left="3240" w:hanging="360"/>
      </w:pPr>
    </w:lvl>
    <w:lvl w:ilvl="4" w:tplc="ACDADA5C">
      <w:start w:val="1"/>
      <w:numFmt w:val="lowerLetter"/>
      <w:lvlText w:val="%5."/>
      <w:lvlJc w:val="left"/>
      <w:pPr>
        <w:ind w:left="3960" w:hanging="360"/>
      </w:pPr>
    </w:lvl>
    <w:lvl w:ilvl="5" w:tplc="A5B6E184">
      <w:start w:val="1"/>
      <w:numFmt w:val="lowerRoman"/>
      <w:lvlText w:val="%6."/>
      <w:lvlJc w:val="right"/>
      <w:pPr>
        <w:ind w:left="4680" w:hanging="180"/>
      </w:pPr>
    </w:lvl>
    <w:lvl w:ilvl="6" w:tplc="4A74D7E2">
      <w:start w:val="1"/>
      <w:numFmt w:val="decimal"/>
      <w:lvlText w:val="%7."/>
      <w:lvlJc w:val="left"/>
      <w:pPr>
        <w:ind w:left="5400" w:hanging="360"/>
      </w:pPr>
    </w:lvl>
    <w:lvl w:ilvl="7" w:tplc="A1581DC8">
      <w:start w:val="1"/>
      <w:numFmt w:val="lowerLetter"/>
      <w:lvlText w:val="%8."/>
      <w:lvlJc w:val="left"/>
      <w:pPr>
        <w:ind w:left="6120" w:hanging="360"/>
      </w:pPr>
    </w:lvl>
    <w:lvl w:ilvl="8" w:tplc="E7C89A76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F2160"/>
    <w:multiLevelType w:val="hybridMultilevel"/>
    <w:tmpl w:val="A502C616"/>
    <w:lvl w:ilvl="0" w:tplc="B9E4FB6C">
      <w:start w:val="1"/>
      <w:numFmt w:val="upperLetter"/>
      <w:lvlText w:val="%1."/>
      <w:lvlJc w:val="left"/>
      <w:pPr>
        <w:ind w:left="1080" w:hanging="360"/>
      </w:pPr>
    </w:lvl>
    <w:lvl w:ilvl="1" w:tplc="E706783E">
      <w:start w:val="1"/>
      <w:numFmt w:val="lowerLetter"/>
      <w:lvlText w:val="%2."/>
      <w:lvlJc w:val="left"/>
      <w:pPr>
        <w:ind w:left="1800" w:hanging="360"/>
      </w:pPr>
    </w:lvl>
    <w:lvl w:ilvl="2" w:tplc="8312BD30">
      <w:start w:val="1"/>
      <w:numFmt w:val="lowerRoman"/>
      <w:lvlText w:val="%3."/>
      <w:lvlJc w:val="right"/>
      <w:pPr>
        <w:ind w:left="2520" w:hanging="180"/>
      </w:pPr>
    </w:lvl>
    <w:lvl w:ilvl="3" w:tplc="4D4E176C">
      <w:start w:val="1"/>
      <w:numFmt w:val="decimal"/>
      <w:lvlText w:val="%4."/>
      <w:lvlJc w:val="left"/>
      <w:pPr>
        <w:ind w:left="3240" w:hanging="360"/>
      </w:pPr>
    </w:lvl>
    <w:lvl w:ilvl="4" w:tplc="EB6E9A12">
      <w:start w:val="1"/>
      <w:numFmt w:val="lowerLetter"/>
      <w:lvlText w:val="%5."/>
      <w:lvlJc w:val="left"/>
      <w:pPr>
        <w:ind w:left="3960" w:hanging="360"/>
      </w:pPr>
    </w:lvl>
    <w:lvl w:ilvl="5" w:tplc="0F9EA474">
      <w:start w:val="1"/>
      <w:numFmt w:val="lowerRoman"/>
      <w:lvlText w:val="%6."/>
      <w:lvlJc w:val="right"/>
      <w:pPr>
        <w:ind w:left="4680" w:hanging="180"/>
      </w:pPr>
    </w:lvl>
    <w:lvl w:ilvl="6" w:tplc="967CB1FA">
      <w:start w:val="1"/>
      <w:numFmt w:val="decimal"/>
      <w:lvlText w:val="%7."/>
      <w:lvlJc w:val="left"/>
      <w:pPr>
        <w:ind w:left="5400" w:hanging="360"/>
      </w:pPr>
    </w:lvl>
    <w:lvl w:ilvl="7" w:tplc="7BE6B58C">
      <w:start w:val="1"/>
      <w:numFmt w:val="lowerLetter"/>
      <w:lvlText w:val="%8."/>
      <w:lvlJc w:val="left"/>
      <w:pPr>
        <w:ind w:left="6120" w:hanging="360"/>
      </w:pPr>
    </w:lvl>
    <w:lvl w:ilvl="8" w:tplc="5040164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752CAE"/>
    <w:multiLevelType w:val="hybridMultilevel"/>
    <w:tmpl w:val="64FA5062"/>
    <w:lvl w:ilvl="0" w:tplc="2E92058A">
      <w:start w:val="1"/>
      <w:numFmt w:val="upperLetter"/>
      <w:lvlText w:val="%1."/>
      <w:lvlJc w:val="left"/>
      <w:pPr>
        <w:ind w:left="1080" w:hanging="360"/>
      </w:pPr>
    </w:lvl>
    <w:lvl w:ilvl="1" w:tplc="FE0CA97A">
      <w:start w:val="1"/>
      <w:numFmt w:val="lowerLetter"/>
      <w:lvlText w:val="%2."/>
      <w:lvlJc w:val="left"/>
      <w:pPr>
        <w:ind w:left="1800" w:hanging="360"/>
      </w:pPr>
    </w:lvl>
    <w:lvl w:ilvl="2" w:tplc="325E9DE8">
      <w:start w:val="1"/>
      <w:numFmt w:val="lowerRoman"/>
      <w:lvlText w:val="%3."/>
      <w:lvlJc w:val="right"/>
      <w:pPr>
        <w:ind w:left="2520" w:hanging="180"/>
      </w:pPr>
    </w:lvl>
    <w:lvl w:ilvl="3" w:tplc="3FD675B0">
      <w:start w:val="1"/>
      <w:numFmt w:val="decimal"/>
      <w:lvlText w:val="%4."/>
      <w:lvlJc w:val="left"/>
      <w:pPr>
        <w:ind w:left="3240" w:hanging="360"/>
      </w:pPr>
    </w:lvl>
    <w:lvl w:ilvl="4" w:tplc="715C6658">
      <w:start w:val="1"/>
      <w:numFmt w:val="lowerLetter"/>
      <w:lvlText w:val="%5."/>
      <w:lvlJc w:val="left"/>
      <w:pPr>
        <w:ind w:left="3960" w:hanging="360"/>
      </w:pPr>
    </w:lvl>
    <w:lvl w:ilvl="5" w:tplc="C940365A">
      <w:start w:val="1"/>
      <w:numFmt w:val="lowerRoman"/>
      <w:lvlText w:val="%6."/>
      <w:lvlJc w:val="right"/>
      <w:pPr>
        <w:ind w:left="4680" w:hanging="180"/>
      </w:pPr>
    </w:lvl>
    <w:lvl w:ilvl="6" w:tplc="6A9AEC0E">
      <w:start w:val="1"/>
      <w:numFmt w:val="decimal"/>
      <w:lvlText w:val="%7."/>
      <w:lvlJc w:val="left"/>
      <w:pPr>
        <w:ind w:left="5400" w:hanging="360"/>
      </w:pPr>
    </w:lvl>
    <w:lvl w:ilvl="7" w:tplc="65BA1718">
      <w:start w:val="1"/>
      <w:numFmt w:val="lowerLetter"/>
      <w:lvlText w:val="%8."/>
      <w:lvlJc w:val="left"/>
      <w:pPr>
        <w:ind w:left="6120" w:hanging="360"/>
      </w:pPr>
    </w:lvl>
    <w:lvl w:ilvl="8" w:tplc="3C90AD12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5901CE"/>
    <w:multiLevelType w:val="hybridMultilevel"/>
    <w:tmpl w:val="EA2AEC0A"/>
    <w:lvl w:ilvl="0" w:tplc="FECEAF04">
      <w:start w:val="1"/>
      <w:numFmt w:val="upperLetter"/>
      <w:lvlText w:val="%1."/>
      <w:lvlJc w:val="left"/>
      <w:pPr>
        <w:ind w:left="1080" w:hanging="360"/>
      </w:pPr>
    </w:lvl>
    <w:lvl w:ilvl="1" w:tplc="E38872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3D0D9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8480D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6C2B2A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49CA7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26B7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3611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662B1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31731A"/>
    <w:multiLevelType w:val="hybridMultilevel"/>
    <w:tmpl w:val="A7ECA4D2"/>
    <w:lvl w:ilvl="0" w:tplc="5CA81A72">
      <w:start w:val="1"/>
      <w:numFmt w:val="upperLetter"/>
      <w:lvlText w:val="%1."/>
      <w:lvlJc w:val="left"/>
      <w:pPr>
        <w:ind w:left="1080" w:hanging="360"/>
      </w:pPr>
    </w:lvl>
    <w:lvl w:ilvl="1" w:tplc="D2C2EB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EEA3B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6A51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47658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646B9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601A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DA4D8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7A0E7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F01806"/>
    <w:multiLevelType w:val="hybridMultilevel"/>
    <w:tmpl w:val="AF54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357B4"/>
    <w:multiLevelType w:val="hybridMultilevel"/>
    <w:tmpl w:val="A5A8C6D6"/>
    <w:lvl w:ilvl="0" w:tplc="53345B76">
      <w:start w:val="1"/>
      <w:numFmt w:val="upperLetter"/>
      <w:lvlText w:val="%1."/>
      <w:lvlJc w:val="left"/>
      <w:pPr>
        <w:ind w:left="1080" w:hanging="360"/>
      </w:pPr>
    </w:lvl>
    <w:lvl w:ilvl="1" w:tplc="1D4C58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74425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E410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347C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83492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C86C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E0B4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3FE61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0390518">
    <w:abstractNumId w:val="1"/>
  </w:num>
  <w:num w:numId="2" w16cid:durableId="865870714">
    <w:abstractNumId w:val="7"/>
  </w:num>
  <w:num w:numId="3" w16cid:durableId="1437095972">
    <w:abstractNumId w:val="6"/>
  </w:num>
  <w:num w:numId="4" w16cid:durableId="1517424452">
    <w:abstractNumId w:val="0"/>
  </w:num>
  <w:num w:numId="5" w16cid:durableId="1439452256">
    <w:abstractNumId w:val="8"/>
  </w:num>
  <w:num w:numId="6" w16cid:durableId="206724358">
    <w:abstractNumId w:val="9"/>
  </w:num>
  <w:num w:numId="7" w16cid:durableId="1773743764">
    <w:abstractNumId w:val="3"/>
  </w:num>
  <w:num w:numId="8" w16cid:durableId="729156734">
    <w:abstractNumId w:val="12"/>
  </w:num>
  <w:num w:numId="9" w16cid:durableId="1247032750">
    <w:abstractNumId w:val="2"/>
  </w:num>
  <w:num w:numId="10" w16cid:durableId="1270551205">
    <w:abstractNumId w:val="10"/>
  </w:num>
  <w:num w:numId="11" w16cid:durableId="393815955">
    <w:abstractNumId w:val="11"/>
  </w:num>
  <w:num w:numId="12" w16cid:durableId="993335250">
    <w:abstractNumId w:val="4"/>
  </w:num>
  <w:num w:numId="13" w16cid:durableId="580993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B7"/>
    <w:rsid w:val="00011C0C"/>
    <w:rsid w:val="00016F10"/>
    <w:rsid w:val="00025FF2"/>
    <w:rsid w:val="00026755"/>
    <w:rsid w:val="000300E5"/>
    <w:rsid w:val="00037718"/>
    <w:rsid w:val="00052CB9"/>
    <w:rsid w:val="00054FB7"/>
    <w:rsid w:val="00063AE5"/>
    <w:rsid w:val="00070086"/>
    <w:rsid w:val="0007593B"/>
    <w:rsid w:val="000815DC"/>
    <w:rsid w:val="00081CDD"/>
    <w:rsid w:val="000856C4"/>
    <w:rsid w:val="00086930"/>
    <w:rsid w:val="00090428"/>
    <w:rsid w:val="0009045C"/>
    <w:rsid w:val="000C237F"/>
    <w:rsid w:val="000C2424"/>
    <w:rsid w:val="000C44ED"/>
    <w:rsid w:val="000C7B8B"/>
    <w:rsid w:val="000D0ECB"/>
    <w:rsid w:val="000D2657"/>
    <w:rsid w:val="000D369C"/>
    <w:rsid w:val="000E35CF"/>
    <w:rsid w:val="00103FC5"/>
    <w:rsid w:val="00104DDA"/>
    <w:rsid w:val="00105C5C"/>
    <w:rsid w:val="00106D7A"/>
    <w:rsid w:val="00124167"/>
    <w:rsid w:val="00126AF1"/>
    <w:rsid w:val="0019549D"/>
    <w:rsid w:val="001963E3"/>
    <w:rsid w:val="001B6463"/>
    <w:rsid w:val="001B6DD1"/>
    <w:rsid w:val="001C3812"/>
    <w:rsid w:val="001D1638"/>
    <w:rsid w:val="001D363E"/>
    <w:rsid w:val="001E241E"/>
    <w:rsid w:val="001F6D55"/>
    <w:rsid w:val="001F7B81"/>
    <w:rsid w:val="00200EC8"/>
    <w:rsid w:val="002026AE"/>
    <w:rsid w:val="00207379"/>
    <w:rsid w:val="00213A47"/>
    <w:rsid w:val="00214B15"/>
    <w:rsid w:val="00221D81"/>
    <w:rsid w:val="00222E4A"/>
    <w:rsid w:val="00225619"/>
    <w:rsid w:val="0022651A"/>
    <w:rsid w:val="002345A4"/>
    <w:rsid w:val="00235497"/>
    <w:rsid w:val="00236BCB"/>
    <w:rsid w:val="002565AF"/>
    <w:rsid w:val="00263C27"/>
    <w:rsid w:val="00263ED6"/>
    <w:rsid w:val="0026446B"/>
    <w:rsid w:val="00266406"/>
    <w:rsid w:val="002712F9"/>
    <w:rsid w:val="002924BC"/>
    <w:rsid w:val="002933F0"/>
    <w:rsid w:val="002B46C1"/>
    <w:rsid w:val="002C0F6E"/>
    <w:rsid w:val="002C4BC2"/>
    <w:rsid w:val="002C6570"/>
    <w:rsid w:val="002F5F1A"/>
    <w:rsid w:val="00310A3B"/>
    <w:rsid w:val="00311052"/>
    <w:rsid w:val="00320BE4"/>
    <w:rsid w:val="00320FEF"/>
    <w:rsid w:val="00324B30"/>
    <w:rsid w:val="00334A56"/>
    <w:rsid w:val="00381B10"/>
    <w:rsid w:val="00391652"/>
    <w:rsid w:val="003C4484"/>
    <w:rsid w:val="003D260F"/>
    <w:rsid w:val="003E2C41"/>
    <w:rsid w:val="003E55A5"/>
    <w:rsid w:val="003F0900"/>
    <w:rsid w:val="004039D9"/>
    <w:rsid w:val="00406D6B"/>
    <w:rsid w:val="00432D91"/>
    <w:rsid w:val="0045729B"/>
    <w:rsid w:val="00475498"/>
    <w:rsid w:val="0048389A"/>
    <w:rsid w:val="00484722"/>
    <w:rsid w:val="004919FE"/>
    <w:rsid w:val="00493FC2"/>
    <w:rsid w:val="004C1524"/>
    <w:rsid w:val="004C2DC1"/>
    <w:rsid w:val="004D749B"/>
    <w:rsid w:val="004E4A20"/>
    <w:rsid w:val="004E4D32"/>
    <w:rsid w:val="004E57D8"/>
    <w:rsid w:val="004E70C3"/>
    <w:rsid w:val="00506576"/>
    <w:rsid w:val="00527BD2"/>
    <w:rsid w:val="00531711"/>
    <w:rsid w:val="00536A54"/>
    <w:rsid w:val="00537E64"/>
    <w:rsid w:val="00555C92"/>
    <w:rsid w:val="005612D9"/>
    <w:rsid w:val="0057117F"/>
    <w:rsid w:val="00572D9F"/>
    <w:rsid w:val="00580AA9"/>
    <w:rsid w:val="005A6901"/>
    <w:rsid w:val="005C0500"/>
    <w:rsid w:val="005C769C"/>
    <w:rsid w:val="005D0110"/>
    <w:rsid w:val="005F6ACD"/>
    <w:rsid w:val="0060381E"/>
    <w:rsid w:val="0060635B"/>
    <w:rsid w:val="00611679"/>
    <w:rsid w:val="006126A0"/>
    <w:rsid w:val="006165C6"/>
    <w:rsid w:val="00627E8F"/>
    <w:rsid w:val="006331C3"/>
    <w:rsid w:val="006417A1"/>
    <w:rsid w:val="00652978"/>
    <w:rsid w:val="006622D5"/>
    <w:rsid w:val="00667D80"/>
    <w:rsid w:val="006740A4"/>
    <w:rsid w:val="006746B9"/>
    <w:rsid w:val="006756C4"/>
    <w:rsid w:val="00675B7A"/>
    <w:rsid w:val="006925AB"/>
    <w:rsid w:val="00694AE9"/>
    <w:rsid w:val="0069722B"/>
    <w:rsid w:val="006A55B3"/>
    <w:rsid w:val="006A7AA7"/>
    <w:rsid w:val="006B60DE"/>
    <w:rsid w:val="006C0015"/>
    <w:rsid w:val="006E2D47"/>
    <w:rsid w:val="006E5D4E"/>
    <w:rsid w:val="006F3197"/>
    <w:rsid w:val="00700573"/>
    <w:rsid w:val="00710ABE"/>
    <w:rsid w:val="007271A5"/>
    <w:rsid w:val="00731C4B"/>
    <w:rsid w:val="007324BD"/>
    <w:rsid w:val="00734693"/>
    <w:rsid w:val="00742C39"/>
    <w:rsid w:val="00744CF4"/>
    <w:rsid w:val="007748A1"/>
    <w:rsid w:val="00795C86"/>
    <w:rsid w:val="007C1E0E"/>
    <w:rsid w:val="007C20C1"/>
    <w:rsid w:val="007C4B9C"/>
    <w:rsid w:val="007E19E4"/>
    <w:rsid w:val="00812B99"/>
    <w:rsid w:val="00823864"/>
    <w:rsid w:val="008327C6"/>
    <w:rsid w:val="00832A33"/>
    <w:rsid w:val="008425B0"/>
    <w:rsid w:val="00853079"/>
    <w:rsid w:val="00860018"/>
    <w:rsid w:val="00860E12"/>
    <w:rsid w:val="00882D29"/>
    <w:rsid w:val="008878F1"/>
    <w:rsid w:val="00890A2D"/>
    <w:rsid w:val="008B338A"/>
    <w:rsid w:val="008C26C1"/>
    <w:rsid w:val="008C673D"/>
    <w:rsid w:val="008D2E2C"/>
    <w:rsid w:val="008D58EE"/>
    <w:rsid w:val="008F02E8"/>
    <w:rsid w:val="008F4253"/>
    <w:rsid w:val="009061A9"/>
    <w:rsid w:val="00907206"/>
    <w:rsid w:val="00910FA4"/>
    <w:rsid w:val="00916A5A"/>
    <w:rsid w:val="00926968"/>
    <w:rsid w:val="00941A9B"/>
    <w:rsid w:val="00966EC9"/>
    <w:rsid w:val="00971F0A"/>
    <w:rsid w:val="00973CB7"/>
    <w:rsid w:val="0098215C"/>
    <w:rsid w:val="009A293A"/>
    <w:rsid w:val="009A460C"/>
    <w:rsid w:val="009B6027"/>
    <w:rsid w:val="009B6739"/>
    <w:rsid w:val="009D08E4"/>
    <w:rsid w:val="009D1D83"/>
    <w:rsid w:val="009E2FA0"/>
    <w:rsid w:val="00A052D3"/>
    <w:rsid w:val="00A346EB"/>
    <w:rsid w:val="00A51D42"/>
    <w:rsid w:val="00A6391D"/>
    <w:rsid w:val="00A863C5"/>
    <w:rsid w:val="00A914F8"/>
    <w:rsid w:val="00AA4E2A"/>
    <w:rsid w:val="00AD1EB5"/>
    <w:rsid w:val="00AF1B33"/>
    <w:rsid w:val="00AF21E7"/>
    <w:rsid w:val="00AF36C9"/>
    <w:rsid w:val="00AF4C9E"/>
    <w:rsid w:val="00B03782"/>
    <w:rsid w:val="00B06B65"/>
    <w:rsid w:val="00B16F65"/>
    <w:rsid w:val="00B27029"/>
    <w:rsid w:val="00B30135"/>
    <w:rsid w:val="00B315DA"/>
    <w:rsid w:val="00B32F5B"/>
    <w:rsid w:val="00B421A3"/>
    <w:rsid w:val="00B43675"/>
    <w:rsid w:val="00B52B3E"/>
    <w:rsid w:val="00B53444"/>
    <w:rsid w:val="00B633C8"/>
    <w:rsid w:val="00B65A2B"/>
    <w:rsid w:val="00B728F6"/>
    <w:rsid w:val="00B86039"/>
    <w:rsid w:val="00B86822"/>
    <w:rsid w:val="00B8748A"/>
    <w:rsid w:val="00B93885"/>
    <w:rsid w:val="00B953C5"/>
    <w:rsid w:val="00BB0747"/>
    <w:rsid w:val="00BB398E"/>
    <w:rsid w:val="00BD0370"/>
    <w:rsid w:val="00BD4EDB"/>
    <w:rsid w:val="00BE67D7"/>
    <w:rsid w:val="00C1419F"/>
    <w:rsid w:val="00C25DFF"/>
    <w:rsid w:val="00C273C4"/>
    <w:rsid w:val="00C407C9"/>
    <w:rsid w:val="00C41A94"/>
    <w:rsid w:val="00C46124"/>
    <w:rsid w:val="00C50916"/>
    <w:rsid w:val="00C70AE6"/>
    <w:rsid w:val="00C74551"/>
    <w:rsid w:val="00C83930"/>
    <w:rsid w:val="00C84E4F"/>
    <w:rsid w:val="00C85EAD"/>
    <w:rsid w:val="00C95483"/>
    <w:rsid w:val="00CB3A89"/>
    <w:rsid w:val="00CC059E"/>
    <w:rsid w:val="00CD4DB0"/>
    <w:rsid w:val="00CE4772"/>
    <w:rsid w:val="00CE4D3E"/>
    <w:rsid w:val="00CE786B"/>
    <w:rsid w:val="00D14BA0"/>
    <w:rsid w:val="00D14DF9"/>
    <w:rsid w:val="00D220E0"/>
    <w:rsid w:val="00D3032D"/>
    <w:rsid w:val="00D3501B"/>
    <w:rsid w:val="00D4036C"/>
    <w:rsid w:val="00D468E0"/>
    <w:rsid w:val="00D67107"/>
    <w:rsid w:val="00D726EA"/>
    <w:rsid w:val="00D75CE7"/>
    <w:rsid w:val="00D86BF5"/>
    <w:rsid w:val="00D979B8"/>
    <w:rsid w:val="00DA266D"/>
    <w:rsid w:val="00DC53F4"/>
    <w:rsid w:val="00DC6697"/>
    <w:rsid w:val="00DD0F6F"/>
    <w:rsid w:val="00DE783A"/>
    <w:rsid w:val="00DF2303"/>
    <w:rsid w:val="00E06508"/>
    <w:rsid w:val="00E200D0"/>
    <w:rsid w:val="00E24629"/>
    <w:rsid w:val="00E32B9A"/>
    <w:rsid w:val="00E362BC"/>
    <w:rsid w:val="00E46620"/>
    <w:rsid w:val="00E50D6F"/>
    <w:rsid w:val="00E51FF0"/>
    <w:rsid w:val="00E54A9E"/>
    <w:rsid w:val="00E607D9"/>
    <w:rsid w:val="00E61244"/>
    <w:rsid w:val="00E625B6"/>
    <w:rsid w:val="00E713A8"/>
    <w:rsid w:val="00E8783B"/>
    <w:rsid w:val="00E87B46"/>
    <w:rsid w:val="00EA03FB"/>
    <w:rsid w:val="00EA092B"/>
    <w:rsid w:val="00EA41EC"/>
    <w:rsid w:val="00EA4F95"/>
    <w:rsid w:val="00EB0D4B"/>
    <w:rsid w:val="00EB43D9"/>
    <w:rsid w:val="00EC372E"/>
    <w:rsid w:val="00EE19C7"/>
    <w:rsid w:val="00EE256C"/>
    <w:rsid w:val="00F10314"/>
    <w:rsid w:val="00F25AA2"/>
    <w:rsid w:val="00F3254D"/>
    <w:rsid w:val="00F41F08"/>
    <w:rsid w:val="00F47475"/>
    <w:rsid w:val="00F477A7"/>
    <w:rsid w:val="00F50CE6"/>
    <w:rsid w:val="00F66D69"/>
    <w:rsid w:val="00F83946"/>
    <w:rsid w:val="00F917D5"/>
    <w:rsid w:val="00FB4CF6"/>
    <w:rsid w:val="00FC7AC9"/>
    <w:rsid w:val="00FD02DB"/>
    <w:rsid w:val="00FE5664"/>
    <w:rsid w:val="00FE6C32"/>
    <w:rsid w:val="00FF5333"/>
    <w:rsid w:val="017047E5"/>
    <w:rsid w:val="02B7DF78"/>
    <w:rsid w:val="079022AB"/>
    <w:rsid w:val="0A51E1E2"/>
    <w:rsid w:val="0CD1FA09"/>
    <w:rsid w:val="0D3613A8"/>
    <w:rsid w:val="0DA2DF3C"/>
    <w:rsid w:val="0DAB8B20"/>
    <w:rsid w:val="1262146D"/>
    <w:rsid w:val="12939184"/>
    <w:rsid w:val="170BD1FF"/>
    <w:rsid w:val="186AEBCA"/>
    <w:rsid w:val="18D5AA02"/>
    <w:rsid w:val="1B547116"/>
    <w:rsid w:val="1BB1FC6C"/>
    <w:rsid w:val="1D175FBF"/>
    <w:rsid w:val="1F26D53E"/>
    <w:rsid w:val="28448AD3"/>
    <w:rsid w:val="297A4AA1"/>
    <w:rsid w:val="2B8909F4"/>
    <w:rsid w:val="2C3BD3A1"/>
    <w:rsid w:val="2F430FD7"/>
    <w:rsid w:val="2FF12E1A"/>
    <w:rsid w:val="31CB0629"/>
    <w:rsid w:val="31F9D9DC"/>
    <w:rsid w:val="324D76D7"/>
    <w:rsid w:val="328ACA2D"/>
    <w:rsid w:val="356894DF"/>
    <w:rsid w:val="38509E9E"/>
    <w:rsid w:val="38E516E0"/>
    <w:rsid w:val="3AFD80A4"/>
    <w:rsid w:val="3C23D0F1"/>
    <w:rsid w:val="3F9C65BA"/>
    <w:rsid w:val="408028CC"/>
    <w:rsid w:val="418088CD"/>
    <w:rsid w:val="45256B0F"/>
    <w:rsid w:val="4638A059"/>
    <w:rsid w:val="46F2D868"/>
    <w:rsid w:val="4A170D7F"/>
    <w:rsid w:val="4A48C5FC"/>
    <w:rsid w:val="4AF75D7B"/>
    <w:rsid w:val="512DABB0"/>
    <w:rsid w:val="51403EF0"/>
    <w:rsid w:val="536F3815"/>
    <w:rsid w:val="544DAA68"/>
    <w:rsid w:val="60DC6C84"/>
    <w:rsid w:val="64F0A18B"/>
    <w:rsid w:val="6745C728"/>
    <w:rsid w:val="68DBBD58"/>
    <w:rsid w:val="6BD95F93"/>
    <w:rsid w:val="709A8643"/>
    <w:rsid w:val="710360B8"/>
    <w:rsid w:val="76658521"/>
    <w:rsid w:val="7C5114EB"/>
    <w:rsid w:val="7C83CC4C"/>
    <w:rsid w:val="7EEAA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05BC6"/>
  <w15:chartTrackingRefBased/>
  <w15:docId w15:val="{620B77DF-FC71-44A9-A9DA-38D4450A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F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F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F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F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F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F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F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F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F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F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73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3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6822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6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8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8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82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C669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917D5"/>
    <w:pPr>
      <w:spacing w:after="0" w:line="240" w:lineRule="auto"/>
    </w:pPr>
  </w:style>
  <w:style w:type="paragraph" w:styleId="Revision">
    <w:name w:val="Revision"/>
    <w:hidden/>
    <w:uiPriority w:val="99"/>
    <w:semiHidden/>
    <w:rsid w:val="000E3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asshe.edu/policies/documents/BOG_Policies/Policy%201986-07-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786B7ADBCA84D893595EC32BEDFAE" ma:contentTypeVersion="18" ma:contentTypeDescription="Create a new document." ma:contentTypeScope="" ma:versionID="d90229c8e5c244467cebaa0aab6dce53">
  <xsd:schema xmlns:xsd="http://www.w3.org/2001/XMLSchema" xmlns:xs="http://www.w3.org/2001/XMLSchema" xmlns:p="http://schemas.microsoft.com/office/2006/metadata/properties" xmlns:ns2="f71d7935-90aa-49ce-acbc-cac3d35f5620" xmlns:ns3="50114498-8dbd-48ee-9265-06b9eea8e057" targetNamespace="http://schemas.microsoft.com/office/2006/metadata/properties" ma:root="true" ma:fieldsID="8f79df5d43a1cf6bc5139186be8ee10d" ns2:_="" ns3:_="">
    <xsd:import namespace="f71d7935-90aa-49ce-acbc-cac3d35f5620"/>
    <xsd:import namespace="50114498-8dbd-48ee-9265-06b9eea8e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d7935-90aa-49ce-acbc-cac3d35f5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8a5eed-3466-4a06-be84-9e6389fd2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14498-8dbd-48ee-9265-06b9eea8e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a40475-b844-4c0b-935f-8cd4ba298f8c}" ma:internalName="TaxCatchAll" ma:showField="CatchAllData" ma:web="50114498-8dbd-48ee-9265-06b9eea8e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114498-8dbd-48ee-9265-06b9eea8e057" xsi:nil="true"/>
    <lcf76f155ced4ddcb4097134ff3c332f xmlns="f71d7935-90aa-49ce-acbc-cac3d35f56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BF9F58-06DE-413D-8FCF-B3321BE8C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89D66-7B3E-4714-8A3C-BA6F48EA8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d7935-90aa-49ce-acbc-cac3d35f5620"/>
    <ds:schemaRef ds:uri="50114498-8dbd-48ee-9265-06b9eea8e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8C11C-B6D6-4C95-9BC9-BEBC601304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3a57f1-3749-444e-8a0e-5a2e9a347405"/>
    <ds:schemaRef ds:uri="2a2e6e08-2a42-4709-9c38-417bfc78e53a"/>
    <ds:schemaRef ds:uri="50114498-8dbd-48ee-9265-06b9eea8e057"/>
    <ds:schemaRef ds:uri="f71d7935-90aa-49ce-acbc-cac3d35f56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1235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Ginger</dc:creator>
  <cp:keywords/>
  <dc:description/>
  <cp:lastModifiedBy>Hoffman, Kristine S.</cp:lastModifiedBy>
  <cp:revision>2</cp:revision>
  <cp:lastPrinted>2025-06-10T21:10:00Z</cp:lastPrinted>
  <dcterms:created xsi:type="dcterms:W3CDTF">2025-07-09T12:38:00Z</dcterms:created>
  <dcterms:modified xsi:type="dcterms:W3CDTF">2025-07-09T12:38:00Z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354c0f43-9893-4c5a-99ba-d77311b9cd0d</vt:lpwstr>
  </property>
  <property fmtid="{D5CDD505-2E9C-101B-9397-08002B2CF9AE}" pid="3" name="ContentTypeId">
    <vt:lpwstr>0x010100711786B7ADBCA84D893595EC32BEDFAE</vt:lpwstr>
  </property>
  <property fmtid="{D5CDD505-2E9C-101B-9397-08002B2CF9AE}" pid="4" name="MediaServiceImageTags">
    <vt:lpwstr/>
  </property>
  <property fmtid="{D5CDD505-2E9C-101B-9397-08002B2CF9AE}" pid="5" name="MSIP_Label_6914c80f-f1ea-4d98-8793-96e1abe086b5_Enabled">
    <vt:lpwstr>true</vt:lpwstr>
  </property>
  <property fmtid="{D5CDD505-2E9C-101B-9397-08002B2CF9AE}" pid="6" name="MSIP_Label_6914c80f-f1ea-4d98-8793-96e1abe086b5_SetDate">
    <vt:lpwstr>2025-07-09T01:15:18Z</vt:lpwstr>
  </property>
  <property fmtid="{D5CDD505-2E9C-101B-9397-08002B2CF9AE}" pid="7" name="MSIP_Label_6914c80f-f1ea-4d98-8793-96e1abe086b5_Method">
    <vt:lpwstr>Standard</vt:lpwstr>
  </property>
  <property fmtid="{D5CDD505-2E9C-101B-9397-08002B2CF9AE}" pid="8" name="MSIP_Label_6914c80f-f1ea-4d98-8793-96e1abe086b5_Name">
    <vt:lpwstr>defa4170-0d19-0005-0004-bc88714345d2</vt:lpwstr>
  </property>
  <property fmtid="{D5CDD505-2E9C-101B-9397-08002B2CF9AE}" pid="9" name="MSIP_Label_6914c80f-f1ea-4d98-8793-96e1abe086b5_SiteId">
    <vt:lpwstr>86555dba-073b-4ff7-b7d1-b73a77c5bd92</vt:lpwstr>
  </property>
  <property fmtid="{D5CDD505-2E9C-101B-9397-08002B2CF9AE}" pid="10" name="MSIP_Label_6914c80f-f1ea-4d98-8793-96e1abe086b5_ActionId">
    <vt:lpwstr>841c3f4e-e744-4c99-b92f-e77d5902bbf6</vt:lpwstr>
  </property>
  <property fmtid="{D5CDD505-2E9C-101B-9397-08002B2CF9AE}" pid="11" name="MSIP_Label_6914c80f-f1ea-4d98-8793-96e1abe086b5_ContentBits">
    <vt:lpwstr>0</vt:lpwstr>
  </property>
  <property fmtid="{D5CDD505-2E9C-101B-9397-08002B2CF9AE}" pid="12" name="MSIP_Label_6914c80f-f1ea-4d98-8793-96e1abe086b5_Tag">
    <vt:lpwstr>10, 3, 0, 1</vt:lpwstr>
  </property>
</Properties>
</file>