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24" w:rsidRDefault="00994824" w:rsidP="00994824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FACILITIES, PLANNING &amp; ENVIRONMENTAL SAFETY</w:t>
      </w:r>
    </w:p>
    <w:p w:rsidR="00994824" w:rsidRPr="00E17214" w:rsidRDefault="00994824" w:rsidP="00994824">
      <w:pPr>
        <w:pStyle w:val="Heading1"/>
        <w:tabs>
          <w:tab w:val="left" w:pos="7380"/>
        </w:tabs>
        <w:spacing w:before="75" w:line="316" w:lineRule="auto"/>
        <w:ind w:left="1800" w:right="1110" w:hanging="180"/>
        <w:jc w:val="center"/>
        <w:rPr>
          <w:rFonts w:ascii="Arial" w:hAnsi="Arial" w:cs="Arial"/>
          <w:w w:val="105"/>
          <w:sz w:val="24"/>
          <w:szCs w:val="24"/>
        </w:rPr>
      </w:pPr>
      <w:r w:rsidRPr="00E17214">
        <w:rPr>
          <w:rFonts w:ascii="Arial" w:hAnsi="Arial" w:cs="Arial"/>
          <w:w w:val="105"/>
          <w:sz w:val="24"/>
          <w:szCs w:val="24"/>
        </w:rPr>
        <w:t xml:space="preserve">CENTRAL RECEIVING </w:t>
      </w:r>
    </w:p>
    <w:p w:rsidR="004C353E" w:rsidRPr="00E17214" w:rsidRDefault="00E17214" w:rsidP="00E17214">
      <w:pPr>
        <w:pStyle w:val="Heading1"/>
        <w:spacing w:before="68" w:line="501" w:lineRule="auto"/>
        <w:ind w:left="121" w:right="9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</w:t>
      </w:r>
      <w:r w:rsidR="00FA2958" w:rsidRPr="00E17214">
        <w:rPr>
          <w:rFonts w:ascii="Arial" w:hAnsi="Arial" w:cs="Arial"/>
          <w:w w:val="105"/>
          <w:sz w:val="24"/>
          <w:szCs w:val="24"/>
        </w:rPr>
        <w:t xml:space="preserve">                    </w:t>
      </w:r>
      <w:r w:rsidRPr="00E17214">
        <w:rPr>
          <w:rFonts w:ascii="Arial" w:hAnsi="Arial" w:cs="Arial"/>
          <w:w w:val="105"/>
          <w:sz w:val="24"/>
          <w:szCs w:val="24"/>
        </w:rPr>
        <w:t xml:space="preserve"> COMPUTER SURPLUS PROCEDURE 4903.07</w:t>
      </w:r>
    </w:p>
    <w:p w:rsidR="004C353E" w:rsidRPr="00E17214" w:rsidRDefault="00E17214">
      <w:pPr>
        <w:pStyle w:val="BodyText"/>
        <w:spacing w:before="9" w:line="292" w:lineRule="auto"/>
        <w:ind w:left="124" w:right="563" w:hanging="9"/>
        <w:jc w:val="both"/>
        <w:rPr>
          <w:rFonts w:ascii="Arial" w:hAnsi="Arial" w:cs="Arial"/>
          <w:sz w:val="22"/>
          <w:szCs w:val="22"/>
        </w:rPr>
      </w:pPr>
      <w:r w:rsidRPr="00E17214">
        <w:rPr>
          <w:rFonts w:ascii="Arial" w:hAnsi="Arial" w:cs="Arial"/>
          <w:w w:val="105"/>
          <w:sz w:val="22"/>
          <w:szCs w:val="22"/>
        </w:rPr>
        <w:t>To establish a uniform policy to insure the Information Technology Department (IT) is informed of all personal computers taken out of service for surplus, maintaining the accuracy of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Pr="00E17214">
        <w:rPr>
          <w:rFonts w:ascii="Arial" w:hAnsi="Arial" w:cs="Arial"/>
          <w:w w:val="105"/>
          <w:sz w:val="22"/>
          <w:szCs w:val="22"/>
        </w:rPr>
        <w:t>IT's personal computer and software inventory database.</w:t>
      </w:r>
    </w:p>
    <w:p w:rsidR="004C353E" w:rsidRPr="00E17214" w:rsidRDefault="004C353E">
      <w:pPr>
        <w:pStyle w:val="BodyText"/>
        <w:rPr>
          <w:rFonts w:ascii="Arial" w:hAnsi="Arial" w:cs="Arial"/>
          <w:sz w:val="22"/>
          <w:szCs w:val="22"/>
        </w:rPr>
      </w:pPr>
    </w:p>
    <w:p w:rsidR="004C353E" w:rsidRPr="00E17214" w:rsidRDefault="004C353E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:rsidR="004C353E" w:rsidRPr="00E17214" w:rsidRDefault="00E17214">
      <w:pPr>
        <w:pStyle w:val="Heading1"/>
        <w:ind w:left="131"/>
        <w:rPr>
          <w:rFonts w:ascii="Arial" w:hAnsi="Arial" w:cs="Arial"/>
          <w:sz w:val="24"/>
          <w:szCs w:val="24"/>
        </w:rPr>
      </w:pPr>
      <w:r w:rsidRPr="00E17214">
        <w:rPr>
          <w:rFonts w:ascii="Arial" w:hAnsi="Arial" w:cs="Arial"/>
          <w:w w:val="105"/>
          <w:sz w:val="24"/>
          <w:szCs w:val="24"/>
        </w:rPr>
        <w:t>PROCEDURES</w:t>
      </w:r>
    </w:p>
    <w:p w:rsidR="004C353E" w:rsidRPr="00E17214" w:rsidRDefault="004C353E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:rsidR="004C353E" w:rsidRPr="00E17214" w:rsidRDefault="00E17214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line="295" w:lineRule="auto"/>
        <w:ind w:right="688" w:hanging="371"/>
        <w:rPr>
          <w:rFonts w:ascii="Arial" w:hAnsi="Arial" w:cs="Arial"/>
        </w:rPr>
      </w:pPr>
      <w:r w:rsidRPr="00E17214">
        <w:rPr>
          <w:rFonts w:ascii="Arial" w:hAnsi="Arial" w:cs="Arial"/>
          <w:w w:val="105"/>
        </w:rPr>
        <w:t>Univ</w:t>
      </w:r>
      <w:r w:rsidRPr="00E17214">
        <w:rPr>
          <w:rFonts w:ascii="Arial" w:hAnsi="Arial" w:cs="Arial"/>
          <w:w w:val="105"/>
        </w:rPr>
        <w:t>ersity Departments will notify Information Technology of computer(s) no longer needed utilizing the IT work order</w:t>
      </w:r>
      <w:r w:rsidRPr="00E17214">
        <w:rPr>
          <w:rFonts w:ascii="Arial" w:hAnsi="Arial" w:cs="Arial"/>
          <w:spacing w:val="24"/>
          <w:w w:val="105"/>
        </w:rPr>
        <w:t xml:space="preserve"> </w:t>
      </w:r>
      <w:r w:rsidRPr="00E17214">
        <w:rPr>
          <w:rFonts w:ascii="Arial" w:hAnsi="Arial" w:cs="Arial"/>
          <w:w w:val="105"/>
        </w:rPr>
        <w:t>system.</w:t>
      </w:r>
    </w:p>
    <w:p w:rsidR="004C353E" w:rsidRPr="00E17214" w:rsidRDefault="004C353E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:rsidR="004C353E" w:rsidRPr="00E17214" w:rsidRDefault="00E17214">
      <w:pPr>
        <w:pStyle w:val="ListParagraph"/>
        <w:numPr>
          <w:ilvl w:val="0"/>
          <w:numId w:val="3"/>
        </w:numPr>
        <w:tabs>
          <w:tab w:val="left" w:pos="852"/>
          <w:tab w:val="left" w:pos="853"/>
        </w:tabs>
        <w:spacing w:line="295" w:lineRule="auto"/>
        <w:ind w:left="843" w:right="555" w:hanging="357"/>
        <w:rPr>
          <w:rFonts w:ascii="Arial" w:hAnsi="Arial" w:cs="Arial"/>
        </w:rPr>
      </w:pPr>
      <w:r w:rsidRPr="00E17214">
        <w:rPr>
          <w:rFonts w:ascii="Arial" w:hAnsi="Arial" w:cs="Arial"/>
          <w:w w:val="105"/>
        </w:rPr>
        <w:t xml:space="preserve">IT will remove all files and programs from the computer's hard drives and determine if the unit should </w:t>
      </w:r>
      <w:r>
        <w:rPr>
          <w:rFonts w:ascii="Arial" w:hAnsi="Arial" w:cs="Arial"/>
          <w:w w:val="105"/>
        </w:rPr>
        <w:t xml:space="preserve">be </w:t>
      </w:r>
      <w:r w:rsidRPr="00E17214">
        <w:rPr>
          <w:rFonts w:ascii="Arial" w:hAnsi="Arial" w:cs="Arial"/>
          <w:w w:val="105"/>
        </w:rPr>
        <w:t>auctioned, recycled, or reassi</w:t>
      </w:r>
      <w:r w:rsidRPr="00E17214">
        <w:rPr>
          <w:rFonts w:ascii="Arial" w:hAnsi="Arial" w:cs="Arial"/>
          <w:w w:val="105"/>
        </w:rPr>
        <w:t>gned to another</w:t>
      </w:r>
      <w:r w:rsidRPr="00E17214">
        <w:rPr>
          <w:rFonts w:ascii="Arial" w:hAnsi="Arial" w:cs="Arial"/>
          <w:spacing w:val="-3"/>
          <w:w w:val="105"/>
        </w:rPr>
        <w:t xml:space="preserve"> </w:t>
      </w:r>
      <w:r w:rsidRPr="00E17214">
        <w:rPr>
          <w:rFonts w:ascii="Arial" w:hAnsi="Arial" w:cs="Arial"/>
          <w:w w:val="105"/>
        </w:rPr>
        <w:t>dep</w:t>
      </w:r>
      <w:r>
        <w:rPr>
          <w:rFonts w:ascii="Arial" w:hAnsi="Arial" w:cs="Arial"/>
          <w:w w:val="105"/>
        </w:rPr>
        <w:t>artment</w:t>
      </w:r>
      <w:r w:rsidRPr="00E17214">
        <w:rPr>
          <w:rFonts w:ascii="Arial" w:hAnsi="Arial" w:cs="Arial"/>
          <w:w w:val="105"/>
        </w:rPr>
        <w:t>.</w:t>
      </w:r>
    </w:p>
    <w:p w:rsidR="004C353E" w:rsidRPr="00E17214" w:rsidRDefault="004C353E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4C353E" w:rsidRPr="00E17214" w:rsidRDefault="00E1721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hanging="358"/>
        <w:rPr>
          <w:rFonts w:ascii="Arial" w:hAnsi="Arial" w:cs="Arial"/>
        </w:rPr>
      </w:pPr>
      <w:r w:rsidRPr="00E17214">
        <w:rPr>
          <w:rFonts w:ascii="Arial" w:hAnsi="Arial" w:cs="Arial"/>
          <w:w w:val="105"/>
        </w:rPr>
        <w:t xml:space="preserve">If </w:t>
      </w:r>
      <w:r w:rsidRPr="00E17214">
        <w:rPr>
          <w:rFonts w:ascii="Arial" w:hAnsi="Arial" w:cs="Arial"/>
          <w:w w:val="105"/>
        </w:rPr>
        <w:t>unit can be reassigned, IT will take computer and utilize in another</w:t>
      </w:r>
      <w:r w:rsidRPr="00E17214">
        <w:rPr>
          <w:rFonts w:ascii="Arial" w:hAnsi="Arial" w:cs="Arial"/>
          <w:spacing w:val="42"/>
          <w:w w:val="105"/>
        </w:rPr>
        <w:t xml:space="preserve"> </w:t>
      </w:r>
      <w:r w:rsidRPr="00E17214">
        <w:rPr>
          <w:rFonts w:ascii="Arial" w:hAnsi="Arial" w:cs="Arial"/>
          <w:w w:val="105"/>
        </w:rPr>
        <w:t>department.</w:t>
      </w:r>
    </w:p>
    <w:p w:rsidR="004C353E" w:rsidRPr="00E17214" w:rsidRDefault="004C353E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:rsidR="004C353E" w:rsidRPr="00E17214" w:rsidRDefault="00E1721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line="285" w:lineRule="auto"/>
        <w:ind w:right="686" w:hanging="358"/>
        <w:rPr>
          <w:rFonts w:ascii="Arial" w:hAnsi="Arial" w:cs="Arial"/>
        </w:rPr>
      </w:pPr>
      <w:r w:rsidRPr="00E17214">
        <w:rPr>
          <w:rFonts w:ascii="Arial" w:hAnsi="Arial" w:cs="Arial"/>
          <w:w w:val="105"/>
        </w:rPr>
        <w:t xml:space="preserve">If </w:t>
      </w:r>
      <w:r w:rsidRPr="00E17214">
        <w:rPr>
          <w:rFonts w:ascii="Arial" w:hAnsi="Arial" w:cs="Arial"/>
          <w:w w:val="105"/>
        </w:rPr>
        <w:t xml:space="preserve">unit should be auctioned or recycled, IT will place a sticker on computer indicating "Auction" or "Recycle". They will then complete </w:t>
      </w:r>
      <w:proofErr w:type="gramStart"/>
      <w:r w:rsidRPr="00E17214">
        <w:rPr>
          <w:rFonts w:ascii="Arial" w:hAnsi="Arial" w:cs="Arial"/>
          <w:w w:val="105"/>
        </w:rPr>
        <w:t>an</w:t>
      </w:r>
      <w:proofErr w:type="gramEnd"/>
      <w:r w:rsidRPr="00E17214"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Facilities, Planning and Environmental Safety </w:t>
      </w:r>
      <w:r w:rsidRPr="00E17214">
        <w:rPr>
          <w:rFonts w:ascii="Arial" w:hAnsi="Arial" w:cs="Arial"/>
          <w:w w:val="105"/>
        </w:rPr>
        <w:t>work order to have unit picked up and brought to Central</w:t>
      </w:r>
      <w:r w:rsidRPr="00E17214">
        <w:rPr>
          <w:rFonts w:ascii="Arial" w:hAnsi="Arial" w:cs="Arial"/>
          <w:spacing w:val="1"/>
          <w:w w:val="105"/>
        </w:rPr>
        <w:t xml:space="preserve"> </w:t>
      </w:r>
      <w:r w:rsidRPr="00E17214">
        <w:rPr>
          <w:rFonts w:ascii="Arial" w:hAnsi="Arial" w:cs="Arial"/>
          <w:w w:val="105"/>
        </w:rPr>
        <w:t>Receiving.</w:t>
      </w:r>
    </w:p>
    <w:p w:rsidR="004C353E" w:rsidRPr="00E17214" w:rsidRDefault="004C353E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4C353E" w:rsidRPr="00E17214" w:rsidRDefault="00E17214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ind w:hanging="364"/>
        <w:rPr>
          <w:rFonts w:ascii="Arial" w:hAnsi="Arial" w:cs="Arial"/>
        </w:rPr>
      </w:pPr>
      <w:r w:rsidRPr="00E17214">
        <w:rPr>
          <w:rFonts w:ascii="Arial" w:hAnsi="Arial" w:cs="Arial"/>
          <w:w w:val="105"/>
        </w:rPr>
        <w:t>Central Receiving will hold units until either picked up for recycling or sold at annual</w:t>
      </w:r>
      <w:r w:rsidRPr="00E17214">
        <w:rPr>
          <w:rFonts w:ascii="Arial" w:hAnsi="Arial" w:cs="Arial"/>
          <w:spacing w:val="-12"/>
          <w:w w:val="105"/>
        </w:rPr>
        <w:t xml:space="preserve"> </w:t>
      </w:r>
      <w:r w:rsidRPr="00E17214">
        <w:rPr>
          <w:rFonts w:ascii="Arial" w:hAnsi="Arial" w:cs="Arial"/>
          <w:w w:val="105"/>
        </w:rPr>
        <w:t>auction.</w:t>
      </w:r>
    </w:p>
    <w:p w:rsidR="004C353E" w:rsidRPr="00E17214" w:rsidRDefault="004C353E">
      <w:pPr>
        <w:pStyle w:val="BodyText"/>
        <w:rPr>
          <w:rFonts w:ascii="Arial" w:hAnsi="Arial" w:cs="Arial"/>
          <w:sz w:val="22"/>
          <w:szCs w:val="22"/>
        </w:rPr>
      </w:pPr>
    </w:p>
    <w:p w:rsidR="004C353E" w:rsidRPr="00E17214" w:rsidRDefault="004C353E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:rsidR="004C353E" w:rsidRPr="00E17214" w:rsidRDefault="00E17214">
      <w:pPr>
        <w:pStyle w:val="Heading1"/>
        <w:rPr>
          <w:rFonts w:ascii="Arial" w:hAnsi="Arial" w:cs="Arial"/>
          <w:sz w:val="24"/>
          <w:szCs w:val="24"/>
        </w:rPr>
      </w:pPr>
      <w:r w:rsidRPr="00E17214">
        <w:rPr>
          <w:rFonts w:ascii="Arial" w:hAnsi="Arial" w:cs="Arial"/>
          <w:w w:val="105"/>
          <w:sz w:val="24"/>
          <w:szCs w:val="24"/>
        </w:rPr>
        <w:t>SANCTIONS</w:t>
      </w:r>
    </w:p>
    <w:p w:rsidR="004C353E" w:rsidRPr="00E17214" w:rsidRDefault="004C353E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:rsidR="004C353E" w:rsidRPr="00E17214" w:rsidRDefault="00E17214">
      <w:pPr>
        <w:pStyle w:val="BodyText"/>
        <w:spacing w:line="340" w:lineRule="auto"/>
        <w:ind w:left="129" w:hanging="2"/>
        <w:rPr>
          <w:rFonts w:ascii="Arial" w:hAnsi="Arial" w:cs="Arial"/>
          <w:sz w:val="22"/>
          <w:szCs w:val="22"/>
        </w:rPr>
      </w:pPr>
      <w:r w:rsidRPr="00E17214">
        <w:rPr>
          <w:rFonts w:ascii="Arial" w:hAnsi="Arial" w:cs="Arial"/>
          <w:w w:val="105"/>
          <w:sz w:val="22"/>
          <w:szCs w:val="22"/>
        </w:rPr>
        <w:t>Employees not following this procedure shall be subject to disciplinary pr</w:t>
      </w:r>
      <w:r w:rsidRPr="00E17214">
        <w:rPr>
          <w:rFonts w:ascii="Arial" w:hAnsi="Arial" w:cs="Arial"/>
          <w:w w:val="105"/>
          <w:sz w:val="22"/>
          <w:szCs w:val="22"/>
        </w:rPr>
        <w:t>ocedures outlined within University Guidelines.</w:t>
      </w:r>
    </w:p>
    <w:p w:rsidR="004C353E" w:rsidRPr="00E17214" w:rsidRDefault="004C353E">
      <w:pPr>
        <w:pStyle w:val="BodyText"/>
        <w:rPr>
          <w:rFonts w:ascii="Arial" w:hAnsi="Arial" w:cs="Arial"/>
          <w:sz w:val="22"/>
          <w:szCs w:val="22"/>
        </w:rPr>
      </w:pPr>
    </w:p>
    <w:p w:rsidR="004C353E" w:rsidRPr="00E17214" w:rsidRDefault="004C353E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4C353E" w:rsidRPr="00E17214" w:rsidRDefault="00E17214">
      <w:pPr>
        <w:pStyle w:val="Heading1"/>
        <w:ind w:left="127"/>
        <w:jc w:val="both"/>
        <w:rPr>
          <w:rFonts w:ascii="Arial" w:hAnsi="Arial" w:cs="Arial"/>
          <w:sz w:val="24"/>
          <w:szCs w:val="24"/>
        </w:rPr>
      </w:pPr>
      <w:r w:rsidRPr="00E17214">
        <w:rPr>
          <w:rFonts w:ascii="Arial" w:hAnsi="Arial" w:cs="Arial"/>
          <w:w w:val="105"/>
          <w:sz w:val="24"/>
          <w:szCs w:val="24"/>
        </w:rPr>
        <w:t>RESPONSIBILITY FOR IMPLEMENTATION</w:t>
      </w:r>
    </w:p>
    <w:p w:rsidR="004C353E" w:rsidRPr="00E17214" w:rsidRDefault="004C353E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:rsidR="004C353E" w:rsidRPr="00E17214" w:rsidRDefault="00E17214">
      <w:pPr>
        <w:pStyle w:val="BodyText"/>
        <w:ind w:left="121"/>
        <w:jc w:val="both"/>
        <w:rPr>
          <w:rFonts w:ascii="Arial" w:hAnsi="Arial" w:cs="Arial"/>
          <w:sz w:val="22"/>
          <w:szCs w:val="22"/>
        </w:rPr>
      </w:pPr>
      <w:r w:rsidRPr="00E17214">
        <w:rPr>
          <w:rFonts w:ascii="Arial" w:hAnsi="Arial" w:cs="Arial"/>
          <w:w w:val="110"/>
          <w:sz w:val="22"/>
          <w:szCs w:val="22"/>
        </w:rPr>
        <w:t>The Director of Facilities and Planning is responsible for implementation of this policy.</w:t>
      </w:r>
    </w:p>
    <w:p w:rsidR="004C353E" w:rsidRPr="00E17214" w:rsidRDefault="004C353E">
      <w:pPr>
        <w:pStyle w:val="BodyText"/>
        <w:rPr>
          <w:rFonts w:ascii="Arial" w:hAnsi="Arial" w:cs="Arial"/>
          <w:sz w:val="22"/>
          <w:szCs w:val="22"/>
        </w:rPr>
      </w:pPr>
    </w:p>
    <w:p w:rsidR="004C353E" w:rsidRPr="00E17214" w:rsidRDefault="004C353E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:rsidR="004C353E" w:rsidRPr="00E17214" w:rsidRDefault="00E17214">
      <w:pPr>
        <w:pStyle w:val="Heading1"/>
        <w:jc w:val="both"/>
        <w:rPr>
          <w:rFonts w:ascii="Arial" w:hAnsi="Arial" w:cs="Arial"/>
          <w:sz w:val="24"/>
          <w:szCs w:val="24"/>
        </w:rPr>
      </w:pPr>
      <w:r w:rsidRPr="00E17214">
        <w:rPr>
          <w:rFonts w:ascii="Arial" w:hAnsi="Arial" w:cs="Arial"/>
          <w:w w:val="105"/>
          <w:sz w:val="24"/>
          <w:szCs w:val="24"/>
        </w:rPr>
        <w:t>SCOPE OF POLICY COVERAGE</w:t>
      </w:r>
    </w:p>
    <w:p w:rsidR="004C353E" w:rsidRPr="00E17214" w:rsidRDefault="004C353E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:rsidR="004C353E" w:rsidRPr="00E17214" w:rsidRDefault="00E17214">
      <w:pPr>
        <w:pStyle w:val="BodyText"/>
        <w:ind w:left="116"/>
        <w:jc w:val="both"/>
        <w:rPr>
          <w:rFonts w:ascii="Arial" w:hAnsi="Arial" w:cs="Arial"/>
          <w:sz w:val="22"/>
          <w:szCs w:val="22"/>
        </w:rPr>
      </w:pPr>
      <w:r w:rsidRPr="00E17214">
        <w:rPr>
          <w:rFonts w:ascii="Arial" w:hAnsi="Arial" w:cs="Arial"/>
          <w:w w:val="105"/>
          <w:sz w:val="22"/>
          <w:szCs w:val="22"/>
        </w:rPr>
        <w:t>This policy applies to all Slippery Rock University Information Technology and Facilities and Planning staff</w:t>
      </w:r>
      <w:r>
        <w:rPr>
          <w:rFonts w:ascii="Arial" w:hAnsi="Arial" w:cs="Arial"/>
          <w:w w:val="105"/>
          <w:sz w:val="22"/>
          <w:szCs w:val="22"/>
        </w:rPr>
        <w:t>.</w:t>
      </w:r>
      <w:bookmarkStart w:id="0" w:name="_GoBack"/>
      <w:bookmarkEnd w:id="0"/>
    </w:p>
    <w:sectPr w:rsidR="004C353E" w:rsidRPr="00E17214">
      <w:type w:val="continuous"/>
      <w:pgSz w:w="12240" w:h="15840"/>
      <w:pgMar w:top="124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1E3"/>
    <w:multiLevelType w:val="hybridMultilevel"/>
    <w:tmpl w:val="0A9A1CC8"/>
    <w:lvl w:ilvl="0" w:tplc="A7B42DF4">
      <w:numFmt w:val="bullet"/>
      <w:lvlText w:val="•"/>
      <w:lvlJc w:val="left"/>
      <w:pPr>
        <w:ind w:left="850" w:hanging="36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53622610">
      <w:numFmt w:val="bullet"/>
      <w:lvlText w:val="•"/>
      <w:lvlJc w:val="left"/>
      <w:pPr>
        <w:ind w:left="1726" w:hanging="365"/>
      </w:pPr>
      <w:rPr>
        <w:rFonts w:hint="default"/>
        <w:lang w:val="en-US" w:eastAsia="en-US" w:bidi="en-US"/>
      </w:rPr>
    </w:lvl>
    <w:lvl w:ilvl="2" w:tplc="83DE4750">
      <w:numFmt w:val="bullet"/>
      <w:lvlText w:val="•"/>
      <w:lvlJc w:val="left"/>
      <w:pPr>
        <w:ind w:left="2592" w:hanging="365"/>
      </w:pPr>
      <w:rPr>
        <w:rFonts w:hint="default"/>
        <w:lang w:val="en-US" w:eastAsia="en-US" w:bidi="en-US"/>
      </w:rPr>
    </w:lvl>
    <w:lvl w:ilvl="3" w:tplc="268E6130">
      <w:numFmt w:val="bullet"/>
      <w:lvlText w:val="•"/>
      <w:lvlJc w:val="left"/>
      <w:pPr>
        <w:ind w:left="3458" w:hanging="365"/>
      </w:pPr>
      <w:rPr>
        <w:rFonts w:hint="default"/>
        <w:lang w:val="en-US" w:eastAsia="en-US" w:bidi="en-US"/>
      </w:rPr>
    </w:lvl>
    <w:lvl w:ilvl="4" w:tplc="0CC05DF2">
      <w:numFmt w:val="bullet"/>
      <w:lvlText w:val="•"/>
      <w:lvlJc w:val="left"/>
      <w:pPr>
        <w:ind w:left="4324" w:hanging="365"/>
      </w:pPr>
      <w:rPr>
        <w:rFonts w:hint="default"/>
        <w:lang w:val="en-US" w:eastAsia="en-US" w:bidi="en-US"/>
      </w:rPr>
    </w:lvl>
    <w:lvl w:ilvl="5" w:tplc="80526FB0">
      <w:numFmt w:val="bullet"/>
      <w:lvlText w:val="•"/>
      <w:lvlJc w:val="left"/>
      <w:pPr>
        <w:ind w:left="5190" w:hanging="365"/>
      </w:pPr>
      <w:rPr>
        <w:rFonts w:hint="default"/>
        <w:lang w:val="en-US" w:eastAsia="en-US" w:bidi="en-US"/>
      </w:rPr>
    </w:lvl>
    <w:lvl w:ilvl="6" w:tplc="4FA84134">
      <w:numFmt w:val="bullet"/>
      <w:lvlText w:val="•"/>
      <w:lvlJc w:val="left"/>
      <w:pPr>
        <w:ind w:left="6056" w:hanging="365"/>
      </w:pPr>
      <w:rPr>
        <w:rFonts w:hint="default"/>
        <w:lang w:val="en-US" w:eastAsia="en-US" w:bidi="en-US"/>
      </w:rPr>
    </w:lvl>
    <w:lvl w:ilvl="7" w:tplc="C9C05E28">
      <w:numFmt w:val="bullet"/>
      <w:lvlText w:val="•"/>
      <w:lvlJc w:val="left"/>
      <w:pPr>
        <w:ind w:left="6922" w:hanging="365"/>
      </w:pPr>
      <w:rPr>
        <w:rFonts w:hint="default"/>
        <w:lang w:val="en-US" w:eastAsia="en-US" w:bidi="en-US"/>
      </w:rPr>
    </w:lvl>
    <w:lvl w:ilvl="8" w:tplc="9B00ECE0">
      <w:numFmt w:val="bullet"/>
      <w:lvlText w:val="•"/>
      <w:lvlJc w:val="left"/>
      <w:pPr>
        <w:ind w:left="7788" w:hanging="365"/>
      </w:pPr>
      <w:rPr>
        <w:rFonts w:hint="default"/>
        <w:lang w:val="en-US" w:eastAsia="en-US" w:bidi="en-US"/>
      </w:rPr>
    </w:lvl>
  </w:abstractNum>
  <w:abstractNum w:abstractNumId="1" w15:restartNumberingAfterBreak="0">
    <w:nsid w:val="4809383E"/>
    <w:multiLevelType w:val="hybridMultilevel"/>
    <w:tmpl w:val="DF9881DE"/>
    <w:lvl w:ilvl="0" w:tplc="A0C40344">
      <w:numFmt w:val="bullet"/>
      <w:lvlText w:val="•"/>
      <w:lvlJc w:val="left"/>
      <w:pPr>
        <w:ind w:left="857" w:hanging="366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en-US"/>
      </w:rPr>
    </w:lvl>
    <w:lvl w:ilvl="1" w:tplc="B406E4D6">
      <w:numFmt w:val="bullet"/>
      <w:lvlText w:val="•"/>
      <w:lvlJc w:val="left"/>
      <w:pPr>
        <w:ind w:left="1726" w:hanging="366"/>
      </w:pPr>
      <w:rPr>
        <w:rFonts w:hint="default"/>
        <w:lang w:val="en-US" w:eastAsia="en-US" w:bidi="en-US"/>
      </w:rPr>
    </w:lvl>
    <w:lvl w:ilvl="2" w:tplc="9DBEF764">
      <w:numFmt w:val="bullet"/>
      <w:lvlText w:val="•"/>
      <w:lvlJc w:val="left"/>
      <w:pPr>
        <w:ind w:left="2592" w:hanging="366"/>
      </w:pPr>
      <w:rPr>
        <w:rFonts w:hint="default"/>
        <w:lang w:val="en-US" w:eastAsia="en-US" w:bidi="en-US"/>
      </w:rPr>
    </w:lvl>
    <w:lvl w:ilvl="3" w:tplc="5BF063F0">
      <w:numFmt w:val="bullet"/>
      <w:lvlText w:val="•"/>
      <w:lvlJc w:val="left"/>
      <w:pPr>
        <w:ind w:left="3458" w:hanging="366"/>
      </w:pPr>
      <w:rPr>
        <w:rFonts w:hint="default"/>
        <w:lang w:val="en-US" w:eastAsia="en-US" w:bidi="en-US"/>
      </w:rPr>
    </w:lvl>
    <w:lvl w:ilvl="4" w:tplc="559830FA">
      <w:numFmt w:val="bullet"/>
      <w:lvlText w:val="•"/>
      <w:lvlJc w:val="left"/>
      <w:pPr>
        <w:ind w:left="4324" w:hanging="366"/>
      </w:pPr>
      <w:rPr>
        <w:rFonts w:hint="default"/>
        <w:lang w:val="en-US" w:eastAsia="en-US" w:bidi="en-US"/>
      </w:rPr>
    </w:lvl>
    <w:lvl w:ilvl="5" w:tplc="4CA2798A">
      <w:numFmt w:val="bullet"/>
      <w:lvlText w:val="•"/>
      <w:lvlJc w:val="left"/>
      <w:pPr>
        <w:ind w:left="5190" w:hanging="366"/>
      </w:pPr>
      <w:rPr>
        <w:rFonts w:hint="default"/>
        <w:lang w:val="en-US" w:eastAsia="en-US" w:bidi="en-US"/>
      </w:rPr>
    </w:lvl>
    <w:lvl w:ilvl="6" w:tplc="325A0CFA">
      <w:numFmt w:val="bullet"/>
      <w:lvlText w:val="•"/>
      <w:lvlJc w:val="left"/>
      <w:pPr>
        <w:ind w:left="6056" w:hanging="366"/>
      </w:pPr>
      <w:rPr>
        <w:rFonts w:hint="default"/>
        <w:lang w:val="en-US" w:eastAsia="en-US" w:bidi="en-US"/>
      </w:rPr>
    </w:lvl>
    <w:lvl w:ilvl="7" w:tplc="1A382070">
      <w:numFmt w:val="bullet"/>
      <w:lvlText w:val="•"/>
      <w:lvlJc w:val="left"/>
      <w:pPr>
        <w:ind w:left="6922" w:hanging="366"/>
      </w:pPr>
      <w:rPr>
        <w:rFonts w:hint="default"/>
        <w:lang w:val="en-US" w:eastAsia="en-US" w:bidi="en-US"/>
      </w:rPr>
    </w:lvl>
    <w:lvl w:ilvl="8" w:tplc="D34A6F7A">
      <w:numFmt w:val="bullet"/>
      <w:lvlText w:val="•"/>
      <w:lvlJc w:val="left"/>
      <w:pPr>
        <w:ind w:left="7788" w:hanging="366"/>
      </w:pPr>
      <w:rPr>
        <w:rFonts w:hint="default"/>
        <w:lang w:val="en-US" w:eastAsia="en-US" w:bidi="en-US"/>
      </w:rPr>
    </w:lvl>
  </w:abstractNum>
  <w:abstractNum w:abstractNumId="2" w15:restartNumberingAfterBreak="0">
    <w:nsid w:val="6C083839"/>
    <w:multiLevelType w:val="hybridMultilevel"/>
    <w:tmpl w:val="F4D67F72"/>
    <w:lvl w:ilvl="0" w:tplc="CBBA5B4C">
      <w:start w:val="4903"/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3" w15:restartNumberingAfterBreak="0">
    <w:nsid w:val="6EEB0907"/>
    <w:multiLevelType w:val="hybridMultilevel"/>
    <w:tmpl w:val="2398EA3A"/>
    <w:lvl w:ilvl="0" w:tplc="5DD64A0C">
      <w:numFmt w:val="bullet"/>
      <w:lvlText w:val="•"/>
      <w:lvlJc w:val="left"/>
      <w:pPr>
        <w:ind w:left="844" w:hanging="353"/>
      </w:pPr>
      <w:rPr>
        <w:rFonts w:ascii="Arial" w:eastAsia="Arial" w:hAnsi="Arial" w:cs="Arial" w:hint="default"/>
        <w:w w:val="109"/>
        <w:sz w:val="21"/>
        <w:szCs w:val="21"/>
        <w:lang w:val="en-US" w:eastAsia="en-US" w:bidi="en-US"/>
      </w:rPr>
    </w:lvl>
    <w:lvl w:ilvl="1" w:tplc="474A36D2">
      <w:numFmt w:val="bullet"/>
      <w:lvlText w:val="•"/>
      <w:lvlJc w:val="left"/>
      <w:pPr>
        <w:ind w:left="1708" w:hanging="353"/>
      </w:pPr>
      <w:rPr>
        <w:rFonts w:hint="default"/>
        <w:lang w:val="en-US" w:eastAsia="en-US" w:bidi="en-US"/>
      </w:rPr>
    </w:lvl>
    <w:lvl w:ilvl="2" w:tplc="6F2C6084">
      <w:numFmt w:val="bullet"/>
      <w:lvlText w:val="•"/>
      <w:lvlJc w:val="left"/>
      <w:pPr>
        <w:ind w:left="2576" w:hanging="353"/>
      </w:pPr>
      <w:rPr>
        <w:rFonts w:hint="default"/>
        <w:lang w:val="en-US" w:eastAsia="en-US" w:bidi="en-US"/>
      </w:rPr>
    </w:lvl>
    <w:lvl w:ilvl="3" w:tplc="38904688">
      <w:numFmt w:val="bullet"/>
      <w:lvlText w:val="•"/>
      <w:lvlJc w:val="left"/>
      <w:pPr>
        <w:ind w:left="3444" w:hanging="353"/>
      </w:pPr>
      <w:rPr>
        <w:rFonts w:hint="default"/>
        <w:lang w:val="en-US" w:eastAsia="en-US" w:bidi="en-US"/>
      </w:rPr>
    </w:lvl>
    <w:lvl w:ilvl="4" w:tplc="53BA68EE">
      <w:numFmt w:val="bullet"/>
      <w:lvlText w:val="•"/>
      <w:lvlJc w:val="left"/>
      <w:pPr>
        <w:ind w:left="4312" w:hanging="353"/>
      </w:pPr>
      <w:rPr>
        <w:rFonts w:hint="default"/>
        <w:lang w:val="en-US" w:eastAsia="en-US" w:bidi="en-US"/>
      </w:rPr>
    </w:lvl>
    <w:lvl w:ilvl="5" w:tplc="D4D47A22">
      <w:numFmt w:val="bullet"/>
      <w:lvlText w:val="•"/>
      <w:lvlJc w:val="left"/>
      <w:pPr>
        <w:ind w:left="5180" w:hanging="353"/>
      </w:pPr>
      <w:rPr>
        <w:rFonts w:hint="default"/>
        <w:lang w:val="en-US" w:eastAsia="en-US" w:bidi="en-US"/>
      </w:rPr>
    </w:lvl>
    <w:lvl w:ilvl="6" w:tplc="D8887576">
      <w:numFmt w:val="bullet"/>
      <w:lvlText w:val="•"/>
      <w:lvlJc w:val="left"/>
      <w:pPr>
        <w:ind w:left="6048" w:hanging="353"/>
      </w:pPr>
      <w:rPr>
        <w:rFonts w:hint="default"/>
        <w:lang w:val="en-US" w:eastAsia="en-US" w:bidi="en-US"/>
      </w:rPr>
    </w:lvl>
    <w:lvl w:ilvl="7" w:tplc="C5DAE2DA">
      <w:numFmt w:val="bullet"/>
      <w:lvlText w:val="•"/>
      <w:lvlJc w:val="left"/>
      <w:pPr>
        <w:ind w:left="6916" w:hanging="353"/>
      </w:pPr>
      <w:rPr>
        <w:rFonts w:hint="default"/>
        <w:lang w:val="en-US" w:eastAsia="en-US" w:bidi="en-US"/>
      </w:rPr>
    </w:lvl>
    <w:lvl w:ilvl="8" w:tplc="7CF89E8A">
      <w:numFmt w:val="bullet"/>
      <w:lvlText w:val="•"/>
      <w:lvlJc w:val="left"/>
      <w:pPr>
        <w:ind w:left="7784" w:hanging="35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C353E"/>
    <w:rsid w:val="004C353E"/>
    <w:rsid w:val="00994824"/>
    <w:rsid w:val="00E17214"/>
    <w:rsid w:val="00F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8229"/>
  <w15:docId w15:val="{7076707A-D026-40D4-9290-0A7EB37A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4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Kedanis, Deborah L.</cp:lastModifiedBy>
  <cp:revision>2</cp:revision>
  <dcterms:created xsi:type="dcterms:W3CDTF">2018-11-02T14:21:00Z</dcterms:created>
  <dcterms:modified xsi:type="dcterms:W3CDTF">2018-11-02T15:03:00Z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2018-11-02T00:00:00Z</vt:filetime>
  </property>
</Properties>
</file>