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E3" w:rsidRDefault="00B54BE3" w:rsidP="00B54BE3">
      <w:pPr>
        <w:pStyle w:val="Heading1"/>
        <w:jc w:val="center"/>
        <w:rPr>
          <w:w w:val="105"/>
        </w:rPr>
      </w:pPr>
    </w:p>
    <w:p w:rsidR="00B54BE3" w:rsidRPr="00B54BE3" w:rsidRDefault="00E70890" w:rsidP="00B54BE3">
      <w:pPr>
        <w:pStyle w:val="Heading1"/>
        <w:jc w:val="center"/>
        <w:rPr>
          <w:rFonts w:ascii="Arial" w:hAnsi="Arial" w:cs="Arial"/>
          <w:sz w:val="28"/>
          <w:szCs w:val="28"/>
        </w:rPr>
      </w:pPr>
      <w:r>
        <w:rPr>
          <w:rFonts w:ascii="Arial" w:hAnsi="Arial" w:cs="Arial"/>
          <w:sz w:val="28"/>
          <w:szCs w:val="28"/>
        </w:rPr>
        <w:t xml:space="preserve">    </w:t>
      </w:r>
      <w:r w:rsidR="00B54BE3" w:rsidRPr="00B54BE3">
        <w:rPr>
          <w:rFonts w:ascii="Arial" w:hAnsi="Arial" w:cs="Arial"/>
          <w:sz w:val="28"/>
          <w:szCs w:val="28"/>
        </w:rPr>
        <w:t>FACILITIES, PLANNING &amp; ENVIRONMENTAL SAFETY</w:t>
      </w:r>
    </w:p>
    <w:p w:rsidR="008D4D96" w:rsidRDefault="00B54BE3" w:rsidP="007718AA">
      <w:pPr>
        <w:pStyle w:val="Heading1"/>
        <w:tabs>
          <w:tab w:val="left" w:pos="7380"/>
        </w:tabs>
        <w:spacing w:before="75" w:line="319" w:lineRule="auto"/>
        <w:ind w:left="1800" w:right="1110" w:hanging="180"/>
        <w:jc w:val="center"/>
        <w:rPr>
          <w:rFonts w:ascii="Arial" w:hAnsi="Arial" w:cs="Arial"/>
          <w:w w:val="105"/>
          <w:sz w:val="24"/>
          <w:szCs w:val="24"/>
        </w:rPr>
      </w:pPr>
      <w:r w:rsidRPr="007718AA">
        <w:rPr>
          <w:rFonts w:ascii="Arial" w:hAnsi="Arial" w:cs="Arial"/>
          <w:w w:val="105"/>
          <w:sz w:val="24"/>
          <w:szCs w:val="24"/>
        </w:rPr>
        <w:t xml:space="preserve">CENTRAL RECEIVING </w:t>
      </w:r>
    </w:p>
    <w:p w:rsidR="00920C64" w:rsidRPr="007718AA" w:rsidRDefault="00B54BE3" w:rsidP="007718AA">
      <w:pPr>
        <w:pStyle w:val="Heading1"/>
        <w:tabs>
          <w:tab w:val="left" w:pos="7380"/>
        </w:tabs>
        <w:spacing w:before="75" w:line="319" w:lineRule="auto"/>
        <w:ind w:left="1800" w:right="1110" w:hanging="180"/>
        <w:jc w:val="center"/>
        <w:rPr>
          <w:rFonts w:ascii="Arial" w:hAnsi="Arial" w:cs="Arial"/>
          <w:sz w:val="24"/>
          <w:szCs w:val="24"/>
        </w:rPr>
      </w:pPr>
      <w:r w:rsidRPr="007718AA">
        <w:rPr>
          <w:rFonts w:ascii="Arial" w:hAnsi="Arial" w:cs="Arial"/>
          <w:w w:val="105"/>
          <w:sz w:val="24"/>
          <w:szCs w:val="24"/>
        </w:rPr>
        <w:t>SURPLUS ITEM PROCEDURE</w:t>
      </w:r>
      <w:r w:rsidR="008919E9">
        <w:rPr>
          <w:rFonts w:ascii="Arial" w:hAnsi="Arial" w:cs="Arial"/>
          <w:w w:val="105"/>
          <w:sz w:val="24"/>
          <w:szCs w:val="24"/>
        </w:rPr>
        <w:t xml:space="preserve"> 4903.06</w:t>
      </w:r>
      <w:bookmarkStart w:id="0" w:name="_GoBack"/>
      <w:bookmarkEnd w:id="0"/>
    </w:p>
    <w:p w:rsidR="00920C64" w:rsidRDefault="00920C64">
      <w:pPr>
        <w:pStyle w:val="BodyText"/>
        <w:spacing w:before="2"/>
        <w:rPr>
          <w:b/>
          <w:sz w:val="9"/>
        </w:rPr>
      </w:pPr>
    </w:p>
    <w:p w:rsidR="00920C64" w:rsidRPr="00B54BE3" w:rsidRDefault="008D4D96">
      <w:pPr>
        <w:spacing w:before="91"/>
        <w:ind w:left="118"/>
        <w:rPr>
          <w:rFonts w:ascii="Arial" w:hAnsi="Arial" w:cs="Arial"/>
          <w:b/>
          <w:sz w:val="24"/>
          <w:szCs w:val="24"/>
        </w:rPr>
      </w:pPr>
      <w:r w:rsidRPr="00B54BE3">
        <w:rPr>
          <w:rFonts w:ascii="Arial" w:hAnsi="Arial" w:cs="Arial"/>
          <w:b/>
          <w:sz w:val="24"/>
          <w:szCs w:val="24"/>
        </w:rPr>
        <w:t>POLICY</w:t>
      </w:r>
    </w:p>
    <w:p w:rsidR="00920C64" w:rsidRPr="00B54BE3" w:rsidRDefault="00920C64">
      <w:pPr>
        <w:pStyle w:val="BodyText"/>
        <w:spacing w:before="4"/>
        <w:rPr>
          <w:rFonts w:ascii="Arial" w:hAnsi="Arial" w:cs="Arial"/>
          <w:b/>
          <w:sz w:val="24"/>
          <w:szCs w:val="24"/>
        </w:rPr>
      </w:pPr>
    </w:p>
    <w:p w:rsidR="00920C64" w:rsidRPr="00B54BE3" w:rsidRDefault="008D4D96">
      <w:pPr>
        <w:pStyle w:val="BodyText"/>
        <w:spacing w:line="340" w:lineRule="auto"/>
        <w:ind w:left="109" w:right="67" w:hanging="6"/>
        <w:rPr>
          <w:rFonts w:ascii="Arial" w:hAnsi="Arial" w:cs="Arial"/>
          <w:sz w:val="22"/>
          <w:szCs w:val="22"/>
        </w:rPr>
      </w:pPr>
      <w:r w:rsidRPr="00B54BE3">
        <w:rPr>
          <w:rFonts w:ascii="Arial" w:hAnsi="Arial" w:cs="Arial"/>
          <w:w w:val="105"/>
          <w:sz w:val="22"/>
          <w:szCs w:val="22"/>
        </w:rPr>
        <w:t>To provide a comprehensive method for identifying surplus items, making them available to other departments and selling unwanted items via auction.</w:t>
      </w:r>
    </w:p>
    <w:p w:rsidR="00920C64" w:rsidRPr="00B54BE3" w:rsidRDefault="008D4D96">
      <w:pPr>
        <w:pStyle w:val="Heading1"/>
        <w:spacing w:before="189"/>
        <w:ind w:left="118"/>
        <w:rPr>
          <w:rFonts w:ascii="Arial" w:hAnsi="Arial" w:cs="Arial"/>
          <w:sz w:val="24"/>
          <w:szCs w:val="24"/>
        </w:rPr>
      </w:pPr>
      <w:r w:rsidRPr="00B54BE3">
        <w:rPr>
          <w:rFonts w:ascii="Arial" w:hAnsi="Arial" w:cs="Arial"/>
          <w:w w:val="105"/>
          <w:sz w:val="24"/>
          <w:szCs w:val="24"/>
        </w:rPr>
        <w:t>PROCEDURES</w:t>
      </w:r>
    </w:p>
    <w:p w:rsidR="00920C64" w:rsidRPr="00B54BE3" w:rsidRDefault="00920C64">
      <w:pPr>
        <w:pStyle w:val="BodyText"/>
        <w:spacing w:before="9"/>
        <w:rPr>
          <w:rFonts w:ascii="Arial" w:hAnsi="Arial" w:cs="Arial"/>
          <w:b/>
          <w:sz w:val="24"/>
          <w:szCs w:val="24"/>
        </w:rPr>
      </w:pPr>
    </w:p>
    <w:p w:rsidR="00920C64" w:rsidRPr="00B54BE3" w:rsidRDefault="008D4D96">
      <w:pPr>
        <w:pStyle w:val="ListParagraph"/>
        <w:numPr>
          <w:ilvl w:val="0"/>
          <w:numId w:val="1"/>
        </w:numPr>
        <w:tabs>
          <w:tab w:val="left" w:pos="833"/>
        </w:tabs>
        <w:spacing w:line="333" w:lineRule="auto"/>
        <w:ind w:right="449" w:hanging="366"/>
        <w:jc w:val="both"/>
        <w:rPr>
          <w:rFonts w:ascii="Arial" w:hAnsi="Arial" w:cs="Arial"/>
        </w:rPr>
      </w:pPr>
      <w:r w:rsidRPr="00B54BE3">
        <w:rPr>
          <w:rFonts w:ascii="Arial" w:hAnsi="Arial" w:cs="Arial"/>
          <w:w w:val="105"/>
        </w:rPr>
        <w:t>Surplus items are deemed surplus by various departments on campus throughout the school year. Items are then stored in Central Receiving and made available for use by any department on campus. Notification is given via e-mail of the surplus items and departments are asked to make arrangements for delivery/pick-up prior to the next scheduled</w:t>
      </w:r>
      <w:r w:rsidRPr="00B54BE3">
        <w:rPr>
          <w:rFonts w:ascii="Arial" w:hAnsi="Arial" w:cs="Arial"/>
          <w:spacing w:val="-9"/>
          <w:w w:val="105"/>
        </w:rPr>
        <w:t xml:space="preserve"> </w:t>
      </w:r>
      <w:r w:rsidRPr="00B54BE3">
        <w:rPr>
          <w:rFonts w:ascii="Arial" w:hAnsi="Arial" w:cs="Arial"/>
          <w:w w:val="105"/>
        </w:rPr>
        <w:t>auction.</w:t>
      </w:r>
    </w:p>
    <w:p w:rsidR="00920C64" w:rsidRPr="00B54BE3" w:rsidRDefault="008D4D96">
      <w:pPr>
        <w:pStyle w:val="ListParagraph"/>
        <w:numPr>
          <w:ilvl w:val="0"/>
          <w:numId w:val="1"/>
        </w:numPr>
        <w:tabs>
          <w:tab w:val="left" w:pos="829"/>
          <w:tab w:val="left" w:pos="830"/>
        </w:tabs>
        <w:spacing w:before="23"/>
        <w:ind w:left="829" w:hanging="361"/>
        <w:rPr>
          <w:rFonts w:ascii="Arial" w:hAnsi="Arial" w:cs="Arial"/>
        </w:rPr>
      </w:pPr>
      <w:r w:rsidRPr="00B54BE3">
        <w:rPr>
          <w:rFonts w:ascii="Arial" w:hAnsi="Arial" w:cs="Arial"/>
          <w:w w:val="105"/>
        </w:rPr>
        <w:t>Auctions are typically held during the summer prior to the start of the fall</w:t>
      </w:r>
      <w:r w:rsidRPr="00B54BE3">
        <w:rPr>
          <w:rFonts w:ascii="Arial" w:hAnsi="Arial" w:cs="Arial"/>
          <w:spacing w:val="6"/>
          <w:w w:val="105"/>
        </w:rPr>
        <w:t xml:space="preserve"> </w:t>
      </w:r>
      <w:r w:rsidRPr="00B54BE3">
        <w:rPr>
          <w:rFonts w:ascii="Arial" w:hAnsi="Arial" w:cs="Arial"/>
          <w:w w:val="105"/>
        </w:rPr>
        <w:t>semester.</w:t>
      </w:r>
    </w:p>
    <w:p w:rsidR="00920C64" w:rsidRPr="00B54BE3" w:rsidRDefault="008D4D96">
      <w:pPr>
        <w:pStyle w:val="ListParagraph"/>
        <w:numPr>
          <w:ilvl w:val="0"/>
          <w:numId w:val="1"/>
        </w:numPr>
        <w:tabs>
          <w:tab w:val="left" w:pos="841"/>
          <w:tab w:val="left" w:pos="842"/>
        </w:tabs>
        <w:spacing w:before="111" w:line="336" w:lineRule="auto"/>
        <w:ind w:left="838" w:right="106" w:hanging="370"/>
        <w:rPr>
          <w:rFonts w:ascii="Arial" w:hAnsi="Arial" w:cs="Arial"/>
        </w:rPr>
      </w:pPr>
      <w:r w:rsidRPr="00B54BE3">
        <w:rPr>
          <w:rFonts w:ascii="Arial" w:hAnsi="Arial" w:cs="Arial"/>
          <w:w w:val="105"/>
        </w:rPr>
        <w:t>Purchasing is notified of a need for an auction so that an auctioneer can be contracted to advertise and conduct the</w:t>
      </w:r>
      <w:r w:rsidRPr="00B54BE3">
        <w:rPr>
          <w:rFonts w:ascii="Arial" w:hAnsi="Arial" w:cs="Arial"/>
          <w:spacing w:val="-5"/>
          <w:w w:val="105"/>
        </w:rPr>
        <w:t xml:space="preserve"> </w:t>
      </w:r>
      <w:r w:rsidRPr="00B54BE3">
        <w:rPr>
          <w:rFonts w:ascii="Arial" w:hAnsi="Arial" w:cs="Arial"/>
          <w:w w:val="105"/>
        </w:rPr>
        <w:t>auction.</w:t>
      </w:r>
    </w:p>
    <w:p w:rsidR="00920C64" w:rsidRPr="00B54BE3" w:rsidRDefault="008D4D96">
      <w:pPr>
        <w:pStyle w:val="ListParagraph"/>
        <w:numPr>
          <w:ilvl w:val="0"/>
          <w:numId w:val="1"/>
        </w:numPr>
        <w:tabs>
          <w:tab w:val="left" w:pos="832"/>
          <w:tab w:val="left" w:pos="833"/>
        </w:tabs>
        <w:spacing w:before="20" w:line="336" w:lineRule="auto"/>
        <w:ind w:left="833" w:right="741" w:hanging="365"/>
        <w:rPr>
          <w:rFonts w:ascii="Arial" w:hAnsi="Arial" w:cs="Arial"/>
        </w:rPr>
      </w:pPr>
      <w:r w:rsidRPr="00B54BE3">
        <w:rPr>
          <w:rFonts w:ascii="Arial" w:hAnsi="Arial" w:cs="Arial"/>
          <w:w w:val="105"/>
        </w:rPr>
        <w:t>Set-up for the auction takes place in the days preceding the auction. Central Receiving staff are assigned dependent upon the amount of material to be auctioned</w:t>
      </w:r>
      <w:r w:rsidRPr="00B54BE3">
        <w:rPr>
          <w:rFonts w:ascii="Arial" w:hAnsi="Arial" w:cs="Arial"/>
          <w:spacing w:val="-15"/>
          <w:w w:val="105"/>
        </w:rPr>
        <w:t xml:space="preserve"> </w:t>
      </w:r>
      <w:r w:rsidRPr="00B54BE3">
        <w:rPr>
          <w:rFonts w:ascii="Arial" w:hAnsi="Arial" w:cs="Arial"/>
          <w:w w:val="105"/>
        </w:rPr>
        <w:t>off.</w:t>
      </w:r>
    </w:p>
    <w:p w:rsidR="00920C64" w:rsidRPr="00B54BE3" w:rsidRDefault="008D4D96">
      <w:pPr>
        <w:pStyle w:val="ListParagraph"/>
        <w:numPr>
          <w:ilvl w:val="0"/>
          <w:numId w:val="1"/>
        </w:numPr>
        <w:tabs>
          <w:tab w:val="left" w:pos="829"/>
          <w:tab w:val="left" w:pos="830"/>
        </w:tabs>
        <w:spacing w:before="19" w:line="336" w:lineRule="auto"/>
        <w:ind w:left="840" w:right="252" w:hanging="372"/>
        <w:rPr>
          <w:rFonts w:ascii="Arial" w:hAnsi="Arial" w:cs="Arial"/>
        </w:rPr>
      </w:pPr>
      <w:r w:rsidRPr="00B54BE3">
        <w:rPr>
          <w:rFonts w:ascii="Arial" w:hAnsi="Arial" w:cs="Arial"/>
          <w:w w:val="105"/>
        </w:rPr>
        <w:t>Auctioneer fees and any overtime associated with auction set up are paid out of the auction proceeds with the balance being deposited into an auction</w:t>
      </w:r>
      <w:r w:rsidRPr="00B54BE3">
        <w:rPr>
          <w:rFonts w:ascii="Arial" w:hAnsi="Arial" w:cs="Arial"/>
          <w:spacing w:val="-5"/>
          <w:w w:val="105"/>
        </w:rPr>
        <w:t xml:space="preserve"> </w:t>
      </w:r>
      <w:r w:rsidRPr="00B54BE3">
        <w:rPr>
          <w:rFonts w:ascii="Arial" w:hAnsi="Arial" w:cs="Arial"/>
          <w:w w:val="105"/>
        </w:rPr>
        <w:t>fund.</w:t>
      </w:r>
    </w:p>
    <w:p w:rsidR="00920C64" w:rsidRPr="00B54BE3" w:rsidRDefault="008D4D96">
      <w:pPr>
        <w:pStyle w:val="ListParagraph"/>
        <w:numPr>
          <w:ilvl w:val="0"/>
          <w:numId w:val="1"/>
        </w:numPr>
        <w:tabs>
          <w:tab w:val="left" w:pos="839"/>
          <w:tab w:val="left" w:pos="840"/>
        </w:tabs>
        <w:spacing w:line="328" w:lineRule="auto"/>
        <w:ind w:left="833" w:right="719" w:hanging="366"/>
        <w:rPr>
          <w:rFonts w:ascii="Arial" w:hAnsi="Arial" w:cs="Arial"/>
        </w:rPr>
      </w:pPr>
      <w:r w:rsidRPr="00B54BE3">
        <w:rPr>
          <w:rFonts w:ascii="Arial" w:hAnsi="Arial" w:cs="Arial"/>
          <w:w w:val="105"/>
        </w:rPr>
        <w:t>If</w:t>
      </w:r>
      <w:r w:rsidRPr="00B54BE3">
        <w:rPr>
          <w:rFonts w:ascii="Arial" w:hAnsi="Arial" w:cs="Arial"/>
          <w:spacing w:val="-20"/>
          <w:w w:val="105"/>
        </w:rPr>
        <w:t xml:space="preserve"> </w:t>
      </w:r>
      <w:r w:rsidRPr="00B54BE3">
        <w:rPr>
          <w:rFonts w:ascii="Arial" w:hAnsi="Arial" w:cs="Arial"/>
          <w:w w:val="105"/>
        </w:rPr>
        <w:t>larger</w:t>
      </w:r>
      <w:r w:rsidRPr="00B54BE3">
        <w:rPr>
          <w:rFonts w:ascii="Arial" w:hAnsi="Arial" w:cs="Arial"/>
          <w:spacing w:val="-3"/>
          <w:w w:val="105"/>
        </w:rPr>
        <w:t xml:space="preserve"> </w:t>
      </w:r>
      <w:r w:rsidRPr="00B54BE3">
        <w:rPr>
          <w:rFonts w:ascii="Arial" w:hAnsi="Arial" w:cs="Arial"/>
          <w:w w:val="105"/>
        </w:rPr>
        <w:t>items</w:t>
      </w:r>
      <w:r w:rsidRPr="00B54BE3">
        <w:rPr>
          <w:rFonts w:ascii="Arial" w:hAnsi="Arial" w:cs="Arial"/>
          <w:spacing w:val="5"/>
          <w:w w:val="105"/>
        </w:rPr>
        <w:t xml:space="preserve"> </w:t>
      </w:r>
      <w:r w:rsidRPr="00B54BE3">
        <w:rPr>
          <w:rFonts w:ascii="Arial" w:hAnsi="Arial" w:cs="Arial"/>
          <w:w w:val="105"/>
        </w:rPr>
        <w:t>(vehicles, equipment,</w:t>
      </w:r>
      <w:r w:rsidRPr="00B54BE3">
        <w:rPr>
          <w:rFonts w:ascii="Arial" w:hAnsi="Arial" w:cs="Arial"/>
          <w:spacing w:val="-1"/>
          <w:w w:val="105"/>
        </w:rPr>
        <w:t xml:space="preserve"> </w:t>
      </w:r>
      <w:r w:rsidRPr="00B54BE3">
        <w:rPr>
          <w:rFonts w:ascii="Arial" w:hAnsi="Arial" w:cs="Arial"/>
          <w:w w:val="105"/>
        </w:rPr>
        <w:t>etc.)</w:t>
      </w:r>
      <w:r w:rsidRPr="00B54BE3">
        <w:rPr>
          <w:rFonts w:ascii="Arial" w:hAnsi="Arial" w:cs="Arial"/>
          <w:spacing w:val="-2"/>
          <w:w w:val="105"/>
        </w:rPr>
        <w:t xml:space="preserve"> </w:t>
      </w:r>
      <w:r w:rsidRPr="00B54BE3">
        <w:rPr>
          <w:rFonts w:ascii="Arial" w:hAnsi="Arial" w:cs="Arial"/>
          <w:w w:val="105"/>
        </w:rPr>
        <w:t>are</w:t>
      </w:r>
      <w:r w:rsidRPr="00B54BE3">
        <w:rPr>
          <w:rFonts w:ascii="Arial" w:hAnsi="Arial" w:cs="Arial"/>
          <w:spacing w:val="-12"/>
          <w:w w:val="105"/>
        </w:rPr>
        <w:t xml:space="preserve"> </w:t>
      </w:r>
      <w:r w:rsidRPr="00B54BE3">
        <w:rPr>
          <w:rFonts w:ascii="Arial" w:hAnsi="Arial" w:cs="Arial"/>
          <w:w w:val="105"/>
        </w:rPr>
        <w:t>sold by</w:t>
      </w:r>
      <w:r w:rsidRPr="00B54BE3">
        <w:rPr>
          <w:rFonts w:ascii="Arial" w:hAnsi="Arial" w:cs="Arial"/>
          <w:spacing w:val="-14"/>
          <w:w w:val="105"/>
        </w:rPr>
        <w:t xml:space="preserve"> </w:t>
      </w:r>
      <w:r w:rsidRPr="00B54BE3">
        <w:rPr>
          <w:rFonts w:ascii="Arial" w:hAnsi="Arial" w:cs="Arial"/>
          <w:w w:val="105"/>
        </w:rPr>
        <w:t>a</w:t>
      </w:r>
      <w:r w:rsidRPr="00B54BE3">
        <w:rPr>
          <w:rFonts w:ascii="Arial" w:hAnsi="Arial" w:cs="Arial"/>
          <w:spacing w:val="-18"/>
          <w:w w:val="105"/>
        </w:rPr>
        <w:t xml:space="preserve"> </w:t>
      </w:r>
      <w:r w:rsidRPr="00B54BE3">
        <w:rPr>
          <w:rFonts w:ascii="Arial" w:hAnsi="Arial" w:cs="Arial"/>
          <w:w w:val="105"/>
        </w:rPr>
        <w:t>specific</w:t>
      </w:r>
      <w:r w:rsidRPr="00B54BE3">
        <w:rPr>
          <w:rFonts w:ascii="Arial" w:hAnsi="Arial" w:cs="Arial"/>
          <w:spacing w:val="-5"/>
          <w:w w:val="105"/>
        </w:rPr>
        <w:t xml:space="preserve"> </w:t>
      </w:r>
      <w:r w:rsidRPr="00B54BE3">
        <w:rPr>
          <w:rFonts w:ascii="Arial" w:hAnsi="Arial" w:cs="Arial"/>
          <w:w w:val="105"/>
        </w:rPr>
        <w:t>department,</w:t>
      </w:r>
      <w:r w:rsidRPr="00B54BE3">
        <w:rPr>
          <w:rFonts w:ascii="Arial" w:hAnsi="Arial" w:cs="Arial"/>
          <w:spacing w:val="9"/>
          <w:w w:val="105"/>
        </w:rPr>
        <w:t xml:space="preserve"> </w:t>
      </w:r>
      <w:r w:rsidRPr="00B54BE3">
        <w:rPr>
          <w:rFonts w:ascii="Arial" w:hAnsi="Arial" w:cs="Arial"/>
          <w:w w:val="105"/>
        </w:rPr>
        <w:t>proceeds</w:t>
      </w:r>
      <w:r w:rsidRPr="00B54BE3">
        <w:rPr>
          <w:rFonts w:ascii="Arial" w:hAnsi="Arial" w:cs="Arial"/>
          <w:spacing w:val="-1"/>
          <w:w w:val="105"/>
        </w:rPr>
        <w:t xml:space="preserve"> </w:t>
      </w:r>
      <w:r w:rsidRPr="00B54BE3">
        <w:rPr>
          <w:rFonts w:ascii="Arial" w:hAnsi="Arial" w:cs="Arial"/>
          <w:w w:val="105"/>
        </w:rPr>
        <w:t>minus</w:t>
      </w:r>
      <w:r w:rsidRPr="00B54BE3">
        <w:rPr>
          <w:rFonts w:ascii="Arial" w:hAnsi="Arial" w:cs="Arial"/>
          <w:spacing w:val="-3"/>
          <w:w w:val="105"/>
        </w:rPr>
        <w:t xml:space="preserve"> </w:t>
      </w:r>
      <w:r w:rsidRPr="00B54BE3">
        <w:rPr>
          <w:rFonts w:ascii="Arial" w:hAnsi="Arial" w:cs="Arial"/>
          <w:w w:val="105"/>
        </w:rPr>
        <w:t>expenses</w:t>
      </w:r>
      <w:r w:rsidRPr="00B54BE3">
        <w:rPr>
          <w:rFonts w:ascii="Arial" w:hAnsi="Arial" w:cs="Arial"/>
          <w:spacing w:val="4"/>
          <w:w w:val="105"/>
        </w:rPr>
        <w:t xml:space="preserve"> </w:t>
      </w:r>
      <w:r w:rsidRPr="00B54BE3">
        <w:rPr>
          <w:rFonts w:ascii="Arial" w:hAnsi="Arial" w:cs="Arial"/>
          <w:w w:val="105"/>
        </w:rPr>
        <w:t>are deposited back to selling departments</w:t>
      </w:r>
      <w:r w:rsidRPr="00B54BE3">
        <w:rPr>
          <w:rFonts w:ascii="Arial" w:hAnsi="Arial" w:cs="Arial"/>
          <w:spacing w:val="-8"/>
          <w:w w:val="105"/>
        </w:rPr>
        <w:t xml:space="preserve"> </w:t>
      </w:r>
      <w:r w:rsidRPr="00B54BE3">
        <w:rPr>
          <w:rFonts w:ascii="Arial" w:hAnsi="Arial" w:cs="Arial"/>
          <w:w w:val="105"/>
        </w:rPr>
        <w:t>account.</w:t>
      </w:r>
    </w:p>
    <w:p w:rsidR="00920C64" w:rsidRPr="00B54BE3" w:rsidRDefault="00920C64">
      <w:pPr>
        <w:pStyle w:val="BodyText"/>
        <w:spacing w:before="2"/>
        <w:rPr>
          <w:rFonts w:ascii="Arial" w:hAnsi="Arial" w:cs="Arial"/>
          <w:sz w:val="22"/>
          <w:szCs w:val="22"/>
        </w:rPr>
      </w:pPr>
    </w:p>
    <w:p w:rsidR="00920C64" w:rsidRPr="00B54BE3" w:rsidRDefault="008D4D96">
      <w:pPr>
        <w:pStyle w:val="Heading1"/>
        <w:rPr>
          <w:rFonts w:ascii="Arial" w:hAnsi="Arial" w:cs="Arial"/>
          <w:sz w:val="24"/>
          <w:szCs w:val="24"/>
        </w:rPr>
      </w:pPr>
      <w:r w:rsidRPr="00B54BE3">
        <w:rPr>
          <w:rFonts w:ascii="Arial" w:hAnsi="Arial" w:cs="Arial"/>
          <w:w w:val="105"/>
          <w:sz w:val="24"/>
          <w:szCs w:val="24"/>
        </w:rPr>
        <w:t>SANCTIONS</w:t>
      </w:r>
    </w:p>
    <w:p w:rsidR="00920C64" w:rsidRPr="00B54BE3" w:rsidRDefault="00920C64">
      <w:pPr>
        <w:pStyle w:val="BodyText"/>
        <w:spacing w:before="3"/>
        <w:rPr>
          <w:rFonts w:ascii="Arial" w:hAnsi="Arial" w:cs="Arial"/>
          <w:b/>
          <w:sz w:val="24"/>
          <w:szCs w:val="24"/>
        </w:rPr>
      </w:pPr>
    </w:p>
    <w:p w:rsidR="00920C64" w:rsidRPr="00B54BE3" w:rsidRDefault="008D4D96">
      <w:pPr>
        <w:pStyle w:val="BodyText"/>
        <w:spacing w:before="1" w:line="340" w:lineRule="auto"/>
        <w:ind w:left="119" w:hanging="5"/>
        <w:rPr>
          <w:rFonts w:ascii="Arial" w:hAnsi="Arial" w:cs="Arial"/>
          <w:sz w:val="22"/>
          <w:szCs w:val="22"/>
        </w:rPr>
      </w:pPr>
      <w:r w:rsidRPr="00B54BE3">
        <w:rPr>
          <w:rFonts w:ascii="Arial" w:hAnsi="Arial" w:cs="Arial"/>
          <w:w w:val="105"/>
          <w:sz w:val="22"/>
          <w:szCs w:val="22"/>
        </w:rPr>
        <w:t>Employees not following this procedure or knowing submitting incorrect information shall be subject to disciplinary procedures outlined within University Guidelines.</w:t>
      </w:r>
    </w:p>
    <w:p w:rsidR="00920C64" w:rsidRPr="00B54BE3" w:rsidRDefault="008D4D96">
      <w:pPr>
        <w:pStyle w:val="Heading1"/>
        <w:spacing w:before="188"/>
        <w:ind w:left="115"/>
        <w:rPr>
          <w:rFonts w:ascii="Arial" w:hAnsi="Arial" w:cs="Arial"/>
          <w:sz w:val="24"/>
          <w:szCs w:val="24"/>
        </w:rPr>
      </w:pPr>
      <w:r w:rsidRPr="00B54BE3">
        <w:rPr>
          <w:rFonts w:ascii="Arial" w:hAnsi="Arial" w:cs="Arial"/>
          <w:w w:val="105"/>
          <w:sz w:val="24"/>
          <w:szCs w:val="24"/>
        </w:rPr>
        <w:t>RESPONSIBILITY FOR IMPLEMENTATION</w:t>
      </w:r>
    </w:p>
    <w:p w:rsidR="00920C64" w:rsidRPr="00B54BE3" w:rsidRDefault="00920C64">
      <w:pPr>
        <w:pStyle w:val="BodyText"/>
        <w:spacing w:before="9"/>
        <w:rPr>
          <w:rFonts w:ascii="Arial" w:hAnsi="Arial" w:cs="Arial"/>
          <w:b/>
          <w:sz w:val="24"/>
          <w:szCs w:val="24"/>
        </w:rPr>
      </w:pPr>
    </w:p>
    <w:p w:rsidR="00920C64" w:rsidRPr="00B54BE3" w:rsidRDefault="008D4D96">
      <w:pPr>
        <w:pStyle w:val="BodyText"/>
        <w:ind w:left="103"/>
        <w:rPr>
          <w:rFonts w:ascii="Arial" w:hAnsi="Arial" w:cs="Arial"/>
          <w:sz w:val="22"/>
          <w:szCs w:val="22"/>
        </w:rPr>
      </w:pPr>
      <w:r w:rsidRPr="00B54BE3">
        <w:rPr>
          <w:rFonts w:ascii="Arial" w:hAnsi="Arial" w:cs="Arial"/>
          <w:w w:val="105"/>
          <w:sz w:val="22"/>
          <w:szCs w:val="22"/>
        </w:rPr>
        <w:t>The Director of Facilities is responsible for implementation of this policy.</w:t>
      </w:r>
    </w:p>
    <w:p w:rsidR="00920C64" w:rsidRPr="00B54BE3" w:rsidRDefault="00920C64">
      <w:pPr>
        <w:pStyle w:val="BodyText"/>
        <w:spacing w:before="8"/>
        <w:rPr>
          <w:rFonts w:ascii="Arial" w:hAnsi="Arial" w:cs="Arial"/>
          <w:sz w:val="24"/>
          <w:szCs w:val="24"/>
        </w:rPr>
      </w:pPr>
    </w:p>
    <w:p w:rsidR="00920C64" w:rsidRPr="00B54BE3" w:rsidRDefault="008D4D96">
      <w:pPr>
        <w:pStyle w:val="Heading1"/>
        <w:rPr>
          <w:rFonts w:ascii="Arial" w:hAnsi="Arial" w:cs="Arial"/>
          <w:sz w:val="24"/>
          <w:szCs w:val="24"/>
        </w:rPr>
      </w:pPr>
      <w:r w:rsidRPr="00B54BE3">
        <w:rPr>
          <w:rFonts w:ascii="Arial" w:hAnsi="Arial" w:cs="Arial"/>
          <w:sz w:val="24"/>
          <w:szCs w:val="24"/>
        </w:rPr>
        <w:t>SCOPE OF POLICY COVERAGE</w:t>
      </w:r>
    </w:p>
    <w:p w:rsidR="00920C64" w:rsidRPr="00B54BE3" w:rsidRDefault="00920C64">
      <w:pPr>
        <w:pStyle w:val="BodyText"/>
        <w:spacing w:before="8"/>
        <w:rPr>
          <w:rFonts w:ascii="Arial" w:hAnsi="Arial" w:cs="Arial"/>
          <w:b/>
          <w:sz w:val="24"/>
          <w:szCs w:val="24"/>
        </w:rPr>
      </w:pPr>
    </w:p>
    <w:p w:rsidR="00920C64" w:rsidRPr="007718AA" w:rsidRDefault="008D4D96">
      <w:pPr>
        <w:pStyle w:val="BodyText"/>
        <w:ind w:left="103"/>
        <w:rPr>
          <w:rFonts w:ascii="Arial" w:hAnsi="Arial" w:cs="Arial"/>
          <w:sz w:val="22"/>
          <w:szCs w:val="22"/>
        </w:rPr>
      </w:pPr>
      <w:r w:rsidRPr="007718AA">
        <w:rPr>
          <w:rFonts w:ascii="Arial" w:hAnsi="Arial" w:cs="Arial"/>
          <w:w w:val="105"/>
          <w:sz w:val="22"/>
          <w:szCs w:val="22"/>
        </w:rPr>
        <w:t>This policy applies to all Central Receiving staff.</w:t>
      </w:r>
    </w:p>
    <w:sectPr w:rsidR="00920C64" w:rsidRPr="007718AA">
      <w:type w:val="continuous"/>
      <w:pgSz w:w="12240" w:h="15840"/>
      <w:pgMar w:top="940" w:right="9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E5E"/>
    <w:multiLevelType w:val="hybridMultilevel"/>
    <w:tmpl w:val="99BA04A8"/>
    <w:lvl w:ilvl="0" w:tplc="FF0C14C4">
      <w:numFmt w:val="bullet"/>
      <w:lvlText w:val="•"/>
      <w:lvlJc w:val="left"/>
      <w:pPr>
        <w:ind w:left="834" w:hanging="364"/>
      </w:pPr>
      <w:rPr>
        <w:rFonts w:hint="default"/>
        <w:w w:val="103"/>
        <w:lang w:val="en-US" w:eastAsia="en-US" w:bidi="en-US"/>
      </w:rPr>
    </w:lvl>
    <w:lvl w:ilvl="1" w:tplc="F5FC5E8C">
      <w:numFmt w:val="bullet"/>
      <w:lvlText w:val="•"/>
      <w:lvlJc w:val="left"/>
      <w:pPr>
        <w:ind w:left="1794" w:hanging="364"/>
      </w:pPr>
      <w:rPr>
        <w:rFonts w:hint="default"/>
        <w:lang w:val="en-US" w:eastAsia="en-US" w:bidi="en-US"/>
      </w:rPr>
    </w:lvl>
    <w:lvl w:ilvl="2" w:tplc="A2A88888">
      <w:numFmt w:val="bullet"/>
      <w:lvlText w:val="•"/>
      <w:lvlJc w:val="left"/>
      <w:pPr>
        <w:ind w:left="2748" w:hanging="364"/>
      </w:pPr>
      <w:rPr>
        <w:rFonts w:hint="default"/>
        <w:lang w:val="en-US" w:eastAsia="en-US" w:bidi="en-US"/>
      </w:rPr>
    </w:lvl>
    <w:lvl w:ilvl="3" w:tplc="5F409D50">
      <w:numFmt w:val="bullet"/>
      <w:lvlText w:val="•"/>
      <w:lvlJc w:val="left"/>
      <w:pPr>
        <w:ind w:left="3702" w:hanging="364"/>
      </w:pPr>
      <w:rPr>
        <w:rFonts w:hint="default"/>
        <w:lang w:val="en-US" w:eastAsia="en-US" w:bidi="en-US"/>
      </w:rPr>
    </w:lvl>
    <w:lvl w:ilvl="4" w:tplc="8D66FBB4">
      <w:numFmt w:val="bullet"/>
      <w:lvlText w:val="•"/>
      <w:lvlJc w:val="left"/>
      <w:pPr>
        <w:ind w:left="4656" w:hanging="364"/>
      </w:pPr>
      <w:rPr>
        <w:rFonts w:hint="default"/>
        <w:lang w:val="en-US" w:eastAsia="en-US" w:bidi="en-US"/>
      </w:rPr>
    </w:lvl>
    <w:lvl w:ilvl="5" w:tplc="BA1671D4">
      <w:numFmt w:val="bullet"/>
      <w:lvlText w:val="•"/>
      <w:lvlJc w:val="left"/>
      <w:pPr>
        <w:ind w:left="5610" w:hanging="364"/>
      </w:pPr>
      <w:rPr>
        <w:rFonts w:hint="default"/>
        <w:lang w:val="en-US" w:eastAsia="en-US" w:bidi="en-US"/>
      </w:rPr>
    </w:lvl>
    <w:lvl w:ilvl="6" w:tplc="3CB209EC">
      <w:numFmt w:val="bullet"/>
      <w:lvlText w:val="•"/>
      <w:lvlJc w:val="left"/>
      <w:pPr>
        <w:ind w:left="6564" w:hanging="364"/>
      </w:pPr>
      <w:rPr>
        <w:rFonts w:hint="default"/>
        <w:lang w:val="en-US" w:eastAsia="en-US" w:bidi="en-US"/>
      </w:rPr>
    </w:lvl>
    <w:lvl w:ilvl="7" w:tplc="FE52544A">
      <w:numFmt w:val="bullet"/>
      <w:lvlText w:val="•"/>
      <w:lvlJc w:val="left"/>
      <w:pPr>
        <w:ind w:left="7518" w:hanging="364"/>
      </w:pPr>
      <w:rPr>
        <w:rFonts w:hint="default"/>
        <w:lang w:val="en-US" w:eastAsia="en-US" w:bidi="en-US"/>
      </w:rPr>
    </w:lvl>
    <w:lvl w:ilvl="8" w:tplc="0760446C">
      <w:numFmt w:val="bullet"/>
      <w:lvlText w:val="•"/>
      <w:lvlJc w:val="left"/>
      <w:pPr>
        <w:ind w:left="8472" w:hanging="36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64"/>
    <w:rsid w:val="007718AA"/>
    <w:rsid w:val="008919E9"/>
    <w:rsid w:val="008D4D96"/>
    <w:rsid w:val="00920C64"/>
    <w:rsid w:val="00A85C60"/>
    <w:rsid w:val="00B54BE3"/>
    <w:rsid w:val="00E7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B476"/>
  <w15:docId w15:val="{8E1E9B7B-83F5-46A8-AB6B-FC44ED21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833"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Kedanis, Deborah L.</cp:lastModifiedBy>
  <cp:revision>6</cp:revision>
  <dcterms:created xsi:type="dcterms:W3CDTF">2018-11-01T16:12:00Z</dcterms:created>
  <dcterms:modified xsi:type="dcterms:W3CDTF">2018-11-02T14:20:00Z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Microsoft® Word 2010</vt:lpwstr>
  </property>
  <property fmtid="{D5CDD505-2E9C-101B-9397-08002B2CF9AE}" pid="4" name="LastSaved">
    <vt:filetime>2018-11-01T00:00:00Z</vt:filetime>
  </property>
</Properties>
</file>