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67F" w:rsidRPr="006F567F" w:rsidRDefault="006F567F" w:rsidP="006F567F">
      <w:pPr>
        <w:pStyle w:val="BodyText"/>
        <w:ind w:right="260" w:firstLine="794"/>
        <w:jc w:val="center"/>
        <w:rPr>
          <w:rFonts w:ascii="Arial" w:hAnsi="Arial" w:cs="Arial"/>
          <w:sz w:val="16"/>
          <w:szCs w:val="16"/>
        </w:rPr>
      </w:pPr>
    </w:p>
    <w:p w:rsidR="002735A9" w:rsidRPr="00A4778C" w:rsidRDefault="006F567F" w:rsidP="002735A9">
      <w:pPr>
        <w:tabs>
          <w:tab w:val="left" w:pos="900"/>
        </w:tabs>
        <w:spacing w:before="74"/>
        <w:ind w:left="900" w:hanging="810"/>
        <w:rPr>
          <w:rFonts w:ascii="Arial" w:hAnsi="Arial" w:cs="Arial"/>
          <w:b/>
          <w:sz w:val="28"/>
        </w:rPr>
      </w:pPr>
      <w:r>
        <w:rPr>
          <w:rFonts w:ascii="Arial" w:hAnsi="Arial" w:cs="Arial"/>
          <w:sz w:val="24"/>
          <w:szCs w:val="24"/>
        </w:rPr>
        <w:t xml:space="preserve">                          </w:t>
      </w:r>
      <w:r w:rsidR="002735A9" w:rsidRPr="00A4778C">
        <w:rPr>
          <w:rFonts w:ascii="Arial" w:hAnsi="Arial" w:cs="Arial"/>
          <w:b/>
          <w:sz w:val="28"/>
        </w:rPr>
        <w:t xml:space="preserve">   FACILITIES, PLANNING &amp; ENVIRONMENTAL SAFETY</w:t>
      </w:r>
    </w:p>
    <w:p w:rsidR="008A2367" w:rsidRPr="006F567F" w:rsidRDefault="002735A9" w:rsidP="002735A9">
      <w:pPr>
        <w:pStyle w:val="BodyText"/>
        <w:ind w:right="260" w:firstLine="794"/>
        <w:rPr>
          <w:rFonts w:ascii="Arial" w:hAnsi="Arial" w:cs="Arial"/>
          <w:sz w:val="24"/>
          <w:szCs w:val="24"/>
        </w:rPr>
      </w:pPr>
      <w:r>
        <w:rPr>
          <w:rFonts w:ascii="Arial" w:hAnsi="Arial" w:cs="Arial"/>
          <w:sz w:val="24"/>
          <w:szCs w:val="24"/>
        </w:rPr>
        <w:t xml:space="preserve">                               </w:t>
      </w:r>
      <w:r w:rsidR="006F567F" w:rsidRPr="006F567F">
        <w:rPr>
          <w:rFonts w:ascii="Arial" w:hAnsi="Arial" w:cs="Arial"/>
          <w:sz w:val="24"/>
          <w:szCs w:val="24"/>
        </w:rPr>
        <w:t>UNIVERSITY FACILITY AND PROPERTY USE</w:t>
      </w:r>
    </w:p>
    <w:p w:rsidR="008A2367" w:rsidRPr="006F567F" w:rsidRDefault="006F567F" w:rsidP="006F567F">
      <w:pPr>
        <w:pStyle w:val="BodyText"/>
        <w:ind w:right="260"/>
        <w:jc w:val="center"/>
        <w:rPr>
          <w:rFonts w:ascii="Arial" w:hAnsi="Arial" w:cs="Arial"/>
          <w:sz w:val="24"/>
          <w:szCs w:val="24"/>
        </w:rPr>
      </w:pPr>
      <w:r>
        <w:rPr>
          <w:rFonts w:ascii="Arial" w:hAnsi="Arial" w:cs="Arial"/>
          <w:sz w:val="24"/>
          <w:szCs w:val="24"/>
        </w:rPr>
        <w:t xml:space="preserve">   </w:t>
      </w:r>
      <w:r w:rsidR="002735A9">
        <w:rPr>
          <w:rFonts w:ascii="Arial" w:hAnsi="Arial" w:cs="Arial"/>
          <w:sz w:val="24"/>
          <w:szCs w:val="24"/>
        </w:rPr>
        <w:t xml:space="preserve">       </w:t>
      </w:r>
      <w:r>
        <w:rPr>
          <w:rFonts w:ascii="Arial" w:hAnsi="Arial" w:cs="Arial"/>
          <w:sz w:val="24"/>
          <w:szCs w:val="24"/>
        </w:rPr>
        <w:t xml:space="preserve">  </w:t>
      </w:r>
      <w:r w:rsidRPr="006F567F">
        <w:rPr>
          <w:rFonts w:ascii="Arial" w:hAnsi="Arial" w:cs="Arial"/>
          <w:sz w:val="24"/>
          <w:szCs w:val="24"/>
        </w:rPr>
        <w:t>P</w:t>
      </w:r>
      <w:r w:rsidR="003A4DCE">
        <w:rPr>
          <w:rFonts w:ascii="Arial" w:hAnsi="Arial" w:cs="Arial"/>
          <w:sz w:val="24"/>
          <w:szCs w:val="24"/>
        </w:rPr>
        <w:t>ROCEDURE</w:t>
      </w:r>
      <w:bookmarkStart w:id="0" w:name="_GoBack"/>
      <w:bookmarkEnd w:id="0"/>
      <w:r w:rsidRPr="006F567F">
        <w:rPr>
          <w:rFonts w:ascii="Arial" w:hAnsi="Arial" w:cs="Arial"/>
          <w:sz w:val="24"/>
          <w:szCs w:val="24"/>
        </w:rPr>
        <w:t xml:space="preserve"> #F&amp;P-4800-14</w:t>
      </w:r>
    </w:p>
    <w:p w:rsidR="008A2367" w:rsidRDefault="008A2367">
      <w:pPr>
        <w:spacing w:before="8" w:after="1"/>
        <w:rPr>
          <w:b/>
          <w:sz w:val="11"/>
        </w:rPr>
      </w:pPr>
    </w:p>
    <w:tbl>
      <w:tblPr>
        <w:tblW w:w="0" w:type="auto"/>
        <w:tblInd w:w="200" w:type="dxa"/>
        <w:tblLayout w:type="fixed"/>
        <w:tblCellMar>
          <w:left w:w="0" w:type="dxa"/>
          <w:right w:w="0" w:type="dxa"/>
        </w:tblCellMar>
        <w:tblLook w:val="01E0" w:firstRow="1" w:lastRow="1" w:firstColumn="1" w:lastColumn="1" w:noHBand="0" w:noVBand="0"/>
      </w:tblPr>
      <w:tblGrid>
        <w:gridCol w:w="9360"/>
      </w:tblGrid>
      <w:tr w:rsidR="008A2367" w:rsidRPr="006F567F" w:rsidTr="002735A9">
        <w:trPr>
          <w:trHeight w:val="367"/>
        </w:trPr>
        <w:tc>
          <w:tcPr>
            <w:tcW w:w="9360" w:type="dxa"/>
          </w:tcPr>
          <w:p w:rsidR="008A2367" w:rsidRPr="006F567F" w:rsidRDefault="006F567F">
            <w:pPr>
              <w:pStyle w:val="TableParagraph"/>
              <w:spacing w:before="95"/>
              <w:ind w:left="67"/>
              <w:rPr>
                <w:rFonts w:ascii="Arial" w:hAnsi="Arial" w:cs="Arial"/>
                <w:b/>
                <w:sz w:val="24"/>
                <w:szCs w:val="24"/>
              </w:rPr>
            </w:pPr>
            <w:r w:rsidRPr="006F567F">
              <w:rPr>
                <w:rFonts w:ascii="Arial" w:hAnsi="Arial" w:cs="Arial"/>
                <w:b/>
                <w:sz w:val="24"/>
                <w:szCs w:val="24"/>
              </w:rPr>
              <w:t>PURPOSE</w:t>
            </w:r>
          </w:p>
        </w:tc>
      </w:tr>
      <w:tr w:rsidR="008A2367" w:rsidRPr="006F567F">
        <w:trPr>
          <w:trHeight w:val="645"/>
        </w:trPr>
        <w:tc>
          <w:tcPr>
            <w:tcW w:w="9360" w:type="dxa"/>
          </w:tcPr>
          <w:p w:rsidR="008A2367" w:rsidRPr="006F567F" w:rsidRDefault="003F118F">
            <w:pPr>
              <w:pStyle w:val="TableParagraph"/>
              <w:spacing w:before="30"/>
              <w:ind w:left="67"/>
              <w:rPr>
                <w:rFonts w:ascii="Arial" w:hAnsi="Arial" w:cs="Arial"/>
              </w:rPr>
            </w:pPr>
            <w:r w:rsidRPr="006F567F">
              <w:rPr>
                <w:rFonts w:ascii="Arial" w:hAnsi="Arial" w:cs="Arial"/>
              </w:rPr>
              <w:t>To provide guidelines for the appropriate use of facilities and property under the control of Slippery Rock University.</w:t>
            </w:r>
          </w:p>
        </w:tc>
      </w:tr>
      <w:tr w:rsidR="008A2367" w:rsidRPr="006F567F">
        <w:trPr>
          <w:trHeight w:val="405"/>
        </w:trPr>
        <w:tc>
          <w:tcPr>
            <w:tcW w:w="9360" w:type="dxa"/>
          </w:tcPr>
          <w:p w:rsidR="008A2367" w:rsidRPr="006F567F" w:rsidRDefault="006F567F">
            <w:pPr>
              <w:pStyle w:val="TableParagraph"/>
              <w:spacing w:before="133"/>
              <w:ind w:left="67"/>
              <w:rPr>
                <w:rFonts w:ascii="Arial" w:hAnsi="Arial" w:cs="Arial"/>
                <w:b/>
                <w:sz w:val="24"/>
                <w:szCs w:val="24"/>
              </w:rPr>
            </w:pPr>
            <w:r w:rsidRPr="006F567F">
              <w:rPr>
                <w:rFonts w:ascii="Arial" w:hAnsi="Arial" w:cs="Arial"/>
                <w:b/>
                <w:sz w:val="24"/>
                <w:szCs w:val="24"/>
              </w:rPr>
              <w:t>OBJECTIVE</w:t>
            </w:r>
          </w:p>
        </w:tc>
      </w:tr>
      <w:tr w:rsidR="008A2367" w:rsidRPr="006F567F">
        <w:trPr>
          <w:trHeight w:val="1853"/>
        </w:trPr>
        <w:tc>
          <w:tcPr>
            <w:tcW w:w="9360" w:type="dxa"/>
          </w:tcPr>
          <w:p w:rsidR="008A2367" w:rsidRPr="006F567F" w:rsidRDefault="003F118F">
            <w:pPr>
              <w:pStyle w:val="TableParagraph"/>
              <w:spacing w:before="30"/>
              <w:ind w:left="67" w:right="157"/>
              <w:rPr>
                <w:rFonts w:ascii="Arial" w:hAnsi="Arial" w:cs="Arial"/>
              </w:rPr>
            </w:pPr>
            <w:r w:rsidRPr="006F567F">
              <w:rPr>
                <w:rFonts w:ascii="Arial" w:hAnsi="Arial" w:cs="Arial"/>
              </w:rPr>
              <w:t>The facilities and property of Slippery Rock University exist to serve the educational process, either directly in support of the academic program or indirectly through the provision of extracurricular activities and administration support services. While the highest priority for the use of institutional facilities and property rests with university programming and services itself, it is the policy of Slippery Rock University to provide access to facilities and property by the general community for education, cultural, recreation, and public service purposes. Such access is available whenever those facilities and property are not scheduled for use by the university.</w:t>
            </w:r>
          </w:p>
        </w:tc>
      </w:tr>
      <w:tr w:rsidR="008A2367" w:rsidRPr="006F567F">
        <w:trPr>
          <w:trHeight w:val="427"/>
        </w:trPr>
        <w:tc>
          <w:tcPr>
            <w:tcW w:w="9360" w:type="dxa"/>
          </w:tcPr>
          <w:p w:rsidR="008A2367" w:rsidRPr="006F567F" w:rsidRDefault="006F567F">
            <w:pPr>
              <w:pStyle w:val="TableParagraph"/>
              <w:spacing w:before="133"/>
              <w:ind w:left="67"/>
              <w:rPr>
                <w:rFonts w:ascii="Arial" w:hAnsi="Arial" w:cs="Arial"/>
                <w:b/>
                <w:sz w:val="24"/>
                <w:szCs w:val="24"/>
              </w:rPr>
            </w:pPr>
            <w:r w:rsidRPr="006F567F">
              <w:rPr>
                <w:rFonts w:ascii="Arial" w:hAnsi="Arial" w:cs="Arial"/>
                <w:b/>
                <w:sz w:val="24"/>
                <w:szCs w:val="24"/>
              </w:rPr>
              <w:t>POLICY</w:t>
            </w:r>
          </w:p>
        </w:tc>
      </w:tr>
      <w:tr w:rsidR="008A2367" w:rsidRPr="006F567F">
        <w:trPr>
          <w:trHeight w:val="7398"/>
        </w:trPr>
        <w:tc>
          <w:tcPr>
            <w:tcW w:w="9360" w:type="dxa"/>
          </w:tcPr>
          <w:p w:rsidR="008A2367" w:rsidRPr="006F567F" w:rsidRDefault="003F118F">
            <w:pPr>
              <w:pStyle w:val="TableParagraph"/>
              <w:numPr>
                <w:ilvl w:val="0"/>
                <w:numId w:val="2"/>
              </w:numPr>
              <w:tabs>
                <w:tab w:val="left" w:pos="385"/>
              </w:tabs>
              <w:spacing w:before="53"/>
              <w:ind w:right="96"/>
              <w:rPr>
                <w:rFonts w:ascii="Arial" w:hAnsi="Arial" w:cs="Arial"/>
              </w:rPr>
            </w:pPr>
            <w:r w:rsidRPr="006F567F">
              <w:rPr>
                <w:rFonts w:ascii="Arial" w:hAnsi="Arial" w:cs="Arial"/>
              </w:rPr>
              <w:t>Recovery of Facility Use Costs: In the scheduling of facilities, it should be recognized that the debt service charge for their construction was paid by the Commonwealth. Additionally, the cost of general maintenance of all facilities is covered through funds derived jointly from state</w:t>
            </w:r>
            <w:r w:rsidRPr="006F567F">
              <w:rPr>
                <w:rFonts w:ascii="Arial" w:hAnsi="Arial" w:cs="Arial"/>
                <w:spacing w:val="-38"/>
              </w:rPr>
              <w:t xml:space="preserve"> </w:t>
            </w:r>
            <w:r w:rsidRPr="006F567F">
              <w:rPr>
                <w:rFonts w:ascii="Arial" w:hAnsi="Arial" w:cs="Arial"/>
              </w:rPr>
              <w:t>appropriation and student tuition and fees. As such, when the purpose is other than direct instruction or officially sanctioned extracurricular activity or administrative service activity, the use of university facilities must be at no cost to the institution. Additionally, except where authorized through concession agreement, facilities should not be assigned in a manner that would create profit for a profit-making organization or business concern, nor should institutional facilities generally be scheduled in competition with local businesses capable of supplying the same</w:t>
            </w:r>
            <w:r w:rsidRPr="006F567F">
              <w:rPr>
                <w:rFonts w:ascii="Arial" w:hAnsi="Arial" w:cs="Arial"/>
                <w:spacing w:val="-9"/>
              </w:rPr>
              <w:t xml:space="preserve"> </w:t>
            </w:r>
            <w:r w:rsidRPr="006F567F">
              <w:rPr>
                <w:rFonts w:ascii="Arial" w:hAnsi="Arial" w:cs="Arial"/>
              </w:rPr>
              <w:t>service.</w:t>
            </w:r>
          </w:p>
          <w:p w:rsidR="008A2367" w:rsidRPr="006F567F" w:rsidRDefault="008A2367">
            <w:pPr>
              <w:pStyle w:val="TableParagraph"/>
              <w:spacing w:before="11"/>
              <w:rPr>
                <w:rFonts w:ascii="Arial" w:hAnsi="Arial" w:cs="Arial"/>
                <w:b/>
              </w:rPr>
            </w:pPr>
          </w:p>
          <w:p w:rsidR="008A2367" w:rsidRPr="006F567F" w:rsidRDefault="003F118F">
            <w:pPr>
              <w:pStyle w:val="TableParagraph"/>
              <w:numPr>
                <w:ilvl w:val="0"/>
                <w:numId w:val="2"/>
              </w:numPr>
              <w:tabs>
                <w:tab w:val="left" w:pos="385"/>
              </w:tabs>
              <w:ind w:right="109"/>
              <w:rPr>
                <w:rFonts w:ascii="Arial" w:hAnsi="Arial" w:cs="Arial"/>
              </w:rPr>
            </w:pPr>
            <w:r w:rsidRPr="006F567F">
              <w:rPr>
                <w:rFonts w:ascii="Arial" w:hAnsi="Arial" w:cs="Arial"/>
              </w:rPr>
              <w:t>Coordination of Facility Use: The actual assignment of university facilities and property is to be accomplished under operating practices established by the President and administered by his/her designee and the Vice President for Finance and Administration. All requests for facility use for</w:t>
            </w:r>
            <w:r w:rsidRPr="006F567F">
              <w:rPr>
                <w:rFonts w:ascii="Arial" w:hAnsi="Arial" w:cs="Arial"/>
                <w:spacing w:val="-40"/>
              </w:rPr>
              <w:t xml:space="preserve"> </w:t>
            </w:r>
            <w:r w:rsidR="006F567F">
              <w:rPr>
                <w:rFonts w:ascii="Arial" w:hAnsi="Arial" w:cs="Arial"/>
              </w:rPr>
              <w:t>other tha</w:t>
            </w:r>
            <w:r w:rsidRPr="006F567F">
              <w:rPr>
                <w:rFonts w:ascii="Arial" w:hAnsi="Arial" w:cs="Arial"/>
              </w:rPr>
              <w:t>n classroom activity require prior written submission in order to permit the coordination of ne</w:t>
            </w:r>
            <w:r w:rsidR="006F567F">
              <w:rPr>
                <w:rFonts w:ascii="Arial" w:hAnsi="Arial" w:cs="Arial"/>
              </w:rPr>
              <w:t>ce</w:t>
            </w:r>
            <w:r w:rsidRPr="006F567F">
              <w:rPr>
                <w:rFonts w:ascii="Arial" w:hAnsi="Arial" w:cs="Arial"/>
              </w:rPr>
              <w:t>ssary services and to insure the most effective scheduling of available</w:t>
            </w:r>
            <w:r w:rsidRPr="006F567F">
              <w:rPr>
                <w:rFonts w:ascii="Arial" w:hAnsi="Arial" w:cs="Arial"/>
                <w:spacing w:val="-20"/>
              </w:rPr>
              <w:t xml:space="preserve"> </w:t>
            </w:r>
            <w:r w:rsidRPr="006F567F">
              <w:rPr>
                <w:rFonts w:ascii="Arial" w:hAnsi="Arial" w:cs="Arial"/>
              </w:rPr>
              <w:t>resources.</w:t>
            </w:r>
          </w:p>
          <w:p w:rsidR="008A2367" w:rsidRPr="006F567F" w:rsidRDefault="008A2367">
            <w:pPr>
              <w:pStyle w:val="TableParagraph"/>
              <w:rPr>
                <w:rFonts w:ascii="Arial" w:hAnsi="Arial" w:cs="Arial"/>
                <w:b/>
              </w:rPr>
            </w:pPr>
          </w:p>
          <w:p w:rsidR="008A2367" w:rsidRPr="006F567F" w:rsidRDefault="003F118F">
            <w:pPr>
              <w:pStyle w:val="TableParagraph"/>
              <w:ind w:left="384" w:right="157"/>
              <w:rPr>
                <w:rFonts w:ascii="Arial" w:hAnsi="Arial" w:cs="Arial"/>
              </w:rPr>
            </w:pPr>
            <w:r w:rsidRPr="006F567F">
              <w:rPr>
                <w:rFonts w:ascii="Arial" w:hAnsi="Arial" w:cs="Arial"/>
              </w:rPr>
              <w:t>The assignment of facilities for classroom use is coordinated by the Office of Academic Records and Retention with the Academic Affairs Division. Out of class or extracurricular use of facilities is coordinated by the Director of Conferences within the Student Affairs Division. All requests by non-university related organizations or individuals for the use of the University property, services, or facilities in support of conferences, workshops or other group activities requires coordination by the Director of Conferences.</w:t>
            </w:r>
          </w:p>
          <w:p w:rsidR="008A2367" w:rsidRPr="006F567F" w:rsidRDefault="008A2367">
            <w:pPr>
              <w:pStyle w:val="TableParagraph"/>
              <w:spacing w:before="3"/>
              <w:rPr>
                <w:rFonts w:ascii="Arial" w:hAnsi="Arial" w:cs="Arial"/>
                <w:b/>
              </w:rPr>
            </w:pPr>
          </w:p>
          <w:p w:rsidR="008A2367" w:rsidRPr="006F567F" w:rsidRDefault="003F118F" w:rsidP="006F567F">
            <w:pPr>
              <w:pStyle w:val="TableParagraph"/>
              <w:ind w:left="384" w:right="33"/>
              <w:rPr>
                <w:rFonts w:ascii="Arial" w:hAnsi="Arial" w:cs="Arial"/>
              </w:rPr>
            </w:pPr>
            <w:r w:rsidRPr="006F567F">
              <w:rPr>
                <w:rFonts w:ascii="Arial" w:hAnsi="Arial" w:cs="Arial"/>
              </w:rPr>
              <w:t>For each university-owned building, there is one individual who is identified as the prime point of contact for all matters relating to the administration of the particular facility. The practice of naming such individuals, to be known as Facility Managers, is intended to assist individuals as identified above who are responsible for the provision of support services in the physical plant, public safety and university police, and media service areas. Each facility may also have an Alternate Facility</w:t>
            </w:r>
            <w:r w:rsidR="006F567F">
              <w:rPr>
                <w:rFonts w:ascii="Arial" w:hAnsi="Arial" w:cs="Arial"/>
              </w:rPr>
              <w:t xml:space="preserve"> </w:t>
            </w:r>
            <w:r w:rsidRPr="006F567F">
              <w:rPr>
                <w:rFonts w:ascii="Arial" w:hAnsi="Arial" w:cs="Arial"/>
              </w:rPr>
              <w:t>Manager. Facility Managers have authority over facility occupants and/or users with regard to the following:</w:t>
            </w:r>
          </w:p>
        </w:tc>
      </w:tr>
    </w:tbl>
    <w:p w:rsidR="008A2367" w:rsidRPr="006F567F" w:rsidRDefault="008A2367">
      <w:pPr>
        <w:spacing w:line="242" w:lineRule="exact"/>
        <w:rPr>
          <w:rFonts w:ascii="Arial" w:hAnsi="Arial" w:cs="Arial"/>
        </w:rPr>
        <w:sectPr w:rsidR="008A2367" w:rsidRPr="006F567F">
          <w:type w:val="continuous"/>
          <w:pgSz w:w="12240" w:h="15840"/>
          <w:pgMar w:top="1340" w:right="1200" w:bottom="280" w:left="1240" w:header="720" w:footer="720" w:gutter="0"/>
          <w:cols w:space="720"/>
        </w:sectPr>
      </w:pPr>
    </w:p>
    <w:p w:rsidR="008A2367" w:rsidRPr="006F567F" w:rsidRDefault="008A2367">
      <w:pPr>
        <w:pStyle w:val="BodyText"/>
        <w:spacing w:before="11"/>
        <w:rPr>
          <w:rFonts w:ascii="Arial" w:hAnsi="Arial" w:cs="Arial"/>
          <w:b w:val="0"/>
          <w:sz w:val="22"/>
          <w:szCs w:val="22"/>
        </w:rPr>
      </w:pPr>
    </w:p>
    <w:tbl>
      <w:tblPr>
        <w:tblW w:w="0" w:type="auto"/>
        <w:tblInd w:w="110" w:type="dxa"/>
        <w:tblLayout w:type="fixed"/>
        <w:tblCellMar>
          <w:left w:w="0" w:type="dxa"/>
          <w:right w:w="0" w:type="dxa"/>
        </w:tblCellMar>
        <w:tblLook w:val="01E0" w:firstRow="1" w:lastRow="1" w:firstColumn="1" w:lastColumn="1" w:noHBand="0" w:noVBand="0"/>
      </w:tblPr>
      <w:tblGrid>
        <w:gridCol w:w="443"/>
        <w:gridCol w:w="9131"/>
      </w:tblGrid>
      <w:tr w:rsidR="008A2367" w:rsidRPr="006F567F">
        <w:trPr>
          <w:trHeight w:val="6000"/>
        </w:trPr>
        <w:tc>
          <w:tcPr>
            <w:tcW w:w="443" w:type="dxa"/>
          </w:tcPr>
          <w:p w:rsidR="008A2367" w:rsidRPr="006F567F" w:rsidRDefault="008A2367">
            <w:pPr>
              <w:pStyle w:val="TableParagraph"/>
              <w:rPr>
                <w:rFonts w:ascii="Arial" w:hAnsi="Arial" w:cs="Arial"/>
              </w:rPr>
            </w:pPr>
          </w:p>
        </w:tc>
        <w:tc>
          <w:tcPr>
            <w:tcW w:w="9131" w:type="dxa"/>
          </w:tcPr>
          <w:p w:rsidR="008A2367" w:rsidRPr="006F567F" w:rsidRDefault="003F118F">
            <w:pPr>
              <w:pStyle w:val="TableParagraph"/>
              <w:numPr>
                <w:ilvl w:val="0"/>
                <w:numId w:val="1"/>
              </w:numPr>
              <w:tabs>
                <w:tab w:val="left" w:pos="372"/>
              </w:tabs>
              <w:spacing w:line="241" w:lineRule="exact"/>
              <w:ind w:hanging="230"/>
              <w:rPr>
                <w:rFonts w:ascii="Arial" w:hAnsi="Arial" w:cs="Arial"/>
              </w:rPr>
            </w:pPr>
            <w:r w:rsidRPr="006F567F">
              <w:rPr>
                <w:rFonts w:ascii="Arial" w:hAnsi="Arial" w:cs="Arial"/>
              </w:rPr>
              <w:t>Building security, both external and</w:t>
            </w:r>
            <w:r w:rsidRPr="006F567F">
              <w:rPr>
                <w:rFonts w:ascii="Arial" w:hAnsi="Arial" w:cs="Arial"/>
                <w:spacing w:val="-7"/>
              </w:rPr>
              <w:t xml:space="preserve"> </w:t>
            </w:r>
            <w:r w:rsidRPr="006F567F">
              <w:rPr>
                <w:rFonts w:ascii="Arial" w:hAnsi="Arial" w:cs="Arial"/>
              </w:rPr>
              <w:t>internal.</w:t>
            </w:r>
          </w:p>
          <w:p w:rsidR="008A2367" w:rsidRPr="006F567F" w:rsidRDefault="008A2367">
            <w:pPr>
              <w:pStyle w:val="TableParagraph"/>
              <w:spacing w:before="1"/>
              <w:rPr>
                <w:rFonts w:ascii="Arial" w:hAnsi="Arial" w:cs="Arial"/>
              </w:rPr>
            </w:pPr>
          </w:p>
          <w:p w:rsidR="008A2367" w:rsidRPr="006F567F" w:rsidRDefault="003F118F">
            <w:pPr>
              <w:pStyle w:val="TableParagraph"/>
              <w:numPr>
                <w:ilvl w:val="0"/>
                <w:numId w:val="1"/>
              </w:numPr>
              <w:tabs>
                <w:tab w:val="left" w:pos="372"/>
              </w:tabs>
              <w:ind w:hanging="230"/>
              <w:rPr>
                <w:rFonts w:ascii="Arial" w:hAnsi="Arial" w:cs="Arial"/>
              </w:rPr>
            </w:pPr>
            <w:r w:rsidRPr="006F567F">
              <w:rPr>
                <w:rFonts w:ascii="Arial" w:hAnsi="Arial" w:cs="Arial"/>
              </w:rPr>
              <w:t>Key distribution and</w:t>
            </w:r>
            <w:r w:rsidRPr="006F567F">
              <w:rPr>
                <w:rFonts w:ascii="Arial" w:hAnsi="Arial" w:cs="Arial"/>
                <w:spacing w:val="-4"/>
              </w:rPr>
              <w:t xml:space="preserve"> </w:t>
            </w:r>
            <w:r w:rsidRPr="006F567F">
              <w:rPr>
                <w:rFonts w:ascii="Arial" w:hAnsi="Arial" w:cs="Arial"/>
              </w:rPr>
              <w:t>control.</w:t>
            </w:r>
          </w:p>
          <w:p w:rsidR="008A2367" w:rsidRPr="006F567F" w:rsidRDefault="008A2367">
            <w:pPr>
              <w:pStyle w:val="TableParagraph"/>
              <w:spacing w:before="5"/>
              <w:rPr>
                <w:rFonts w:ascii="Arial" w:hAnsi="Arial" w:cs="Arial"/>
              </w:rPr>
            </w:pPr>
          </w:p>
          <w:p w:rsidR="008A2367" w:rsidRPr="006F567F" w:rsidRDefault="003F118F">
            <w:pPr>
              <w:pStyle w:val="TableParagraph"/>
              <w:numPr>
                <w:ilvl w:val="0"/>
                <w:numId w:val="1"/>
              </w:numPr>
              <w:tabs>
                <w:tab w:val="left" w:pos="372"/>
              </w:tabs>
              <w:spacing w:before="1"/>
              <w:ind w:hanging="230"/>
              <w:rPr>
                <w:rFonts w:ascii="Arial" w:hAnsi="Arial" w:cs="Arial"/>
              </w:rPr>
            </w:pPr>
            <w:r w:rsidRPr="006F567F">
              <w:rPr>
                <w:rFonts w:ascii="Arial" w:hAnsi="Arial" w:cs="Arial"/>
              </w:rPr>
              <w:t>Coordination of classroom, lounge and other common use</w:t>
            </w:r>
            <w:r w:rsidRPr="006F567F">
              <w:rPr>
                <w:rFonts w:ascii="Arial" w:hAnsi="Arial" w:cs="Arial"/>
                <w:spacing w:val="-4"/>
              </w:rPr>
              <w:t xml:space="preserve"> </w:t>
            </w:r>
            <w:r w:rsidRPr="006F567F">
              <w:rPr>
                <w:rFonts w:ascii="Arial" w:hAnsi="Arial" w:cs="Arial"/>
              </w:rPr>
              <w:t>furniture.</w:t>
            </w:r>
          </w:p>
          <w:p w:rsidR="008A2367" w:rsidRPr="006F567F" w:rsidRDefault="008A2367">
            <w:pPr>
              <w:pStyle w:val="TableParagraph"/>
              <w:spacing w:before="5"/>
              <w:rPr>
                <w:rFonts w:ascii="Arial" w:hAnsi="Arial" w:cs="Arial"/>
              </w:rPr>
            </w:pPr>
          </w:p>
          <w:p w:rsidR="008A2367" w:rsidRPr="006F567F" w:rsidRDefault="003F118F">
            <w:pPr>
              <w:pStyle w:val="TableParagraph"/>
              <w:numPr>
                <w:ilvl w:val="0"/>
                <w:numId w:val="1"/>
              </w:numPr>
              <w:tabs>
                <w:tab w:val="left" w:pos="372"/>
              </w:tabs>
              <w:ind w:hanging="230"/>
              <w:rPr>
                <w:rFonts w:ascii="Arial" w:hAnsi="Arial" w:cs="Arial"/>
              </w:rPr>
            </w:pPr>
            <w:r w:rsidRPr="006F567F">
              <w:rPr>
                <w:rFonts w:ascii="Arial" w:hAnsi="Arial" w:cs="Arial"/>
              </w:rPr>
              <w:t>Coordination of audiovisual and other common use</w:t>
            </w:r>
            <w:r w:rsidRPr="006F567F">
              <w:rPr>
                <w:rFonts w:ascii="Arial" w:hAnsi="Arial" w:cs="Arial"/>
                <w:spacing w:val="-2"/>
              </w:rPr>
              <w:t xml:space="preserve"> </w:t>
            </w:r>
            <w:r w:rsidRPr="006F567F">
              <w:rPr>
                <w:rFonts w:ascii="Arial" w:hAnsi="Arial" w:cs="Arial"/>
              </w:rPr>
              <w:t>equipment.</w:t>
            </w:r>
          </w:p>
          <w:p w:rsidR="008A2367" w:rsidRPr="006F567F" w:rsidRDefault="008A2367">
            <w:pPr>
              <w:pStyle w:val="TableParagraph"/>
              <w:spacing w:before="4"/>
              <w:rPr>
                <w:rFonts w:ascii="Arial" w:hAnsi="Arial" w:cs="Arial"/>
              </w:rPr>
            </w:pPr>
          </w:p>
          <w:p w:rsidR="008A2367" w:rsidRPr="006F567F" w:rsidRDefault="003F118F">
            <w:pPr>
              <w:pStyle w:val="TableParagraph"/>
              <w:numPr>
                <w:ilvl w:val="0"/>
                <w:numId w:val="1"/>
              </w:numPr>
              <w:tabs>
                <w:tab w:val="left" w:pos="372"/>
              </w:tabs>
              <w:ind w:hanging="230"/>
              <w:rPr>
                <w:rFonts w:ascii="Arial" w:hAnsi="Arial" w:cs="Arial"/>
              </w:rPr>
            </w:pPr>
            <w:r w:rsidRPr="006F567F">
              <w:rPr>
                <w:rFonts w:ascii="Arial" w:hAnsi="Arial" w:cs="Arial"/>
              </w:rPr>
              <w:t>Facility maintenance and upkeep, including custodial</w:t>
            </w:r>
            <w:r w:rsidRPr="006F567F">
              <w:rPr>
                <w:rFonts w:ascii="Arial" w:hAnsi="Arial" w:cs="Arial"/>
                <w:spacing w:val="-2"/>
              </w:rPr>
              <w:t xml:space="preserve"> </w:t>
            </w:r>
            <w:r w:rsidRPr="006F567F">
              <w:rPr>
                <w:rFonts w:ascii="Arial" w:hAnsi="Arial" w:cs="Arial"/>
              </w:rPr>
              <w:t>service.</w:t>
            </w:r>
          </w:p>
          <w:p w:rsidR="008A2367" w:rsidRPr="006F567F" w:rsidRDefault="008A2367">
            <w:pPr>
              <w:pStyle w:val="TableParagraph"/>
              <w:spacing w:before="3"/>
              <w:rPr>
                <w:rFonts w:ascii="Arial" w:hAnsi="Arial" w:cs="Arial"/>
              </w:rPr>
            </w:pPr>
          </w:p>
          <w:p w:rsidR="008A2367" w:rsidRPr="006F567F" w:rsidRDefault="003F118F">
            <w:pPr>
              <w:pStyle w:val="TableParagraph"/>
              <w:numPr>
                <w:ilvl w:val="0"/>
                <w:numId w:val="1"/>
              </w:numPr>
              <w:tabs>
                <w:tab w:val="left" w:pos="372"/>
              </w:tabs>
              <w:ind w:hanging="230"/>
              <w:rPr>
                <w:rFonts w:ascii="Arial" w:hAnsi="Arial" w:cs="Arial"/>
              </w:rPr>
            </w:pPr>
            <w:r w:rsidRPr="006F567F">
              <w:rPr>
                <w:rFonts w:ascii="Arial" w:hAnsi="Arial" w:cs="Arial"/>
              </w:rPr>
              <w:t>Fire</w:t>
            </w:r>
            <w:r w:rsidRPr="006F567F">
              <w:rPr>
                <w:rFonts w:ascii="Arial" w:hAnsi="Arial" w:cs="Arial"/>
                <w:spacing w:val="-1"/>
              </w:rPr>
              <w:t xml:space="preserve"> </w:t>
            </w:r>
            <w:r w:rsidRPr="006F567F">
              <w:rPr>
                <w:rFonts w:ascii="Arial" w:hAnsi="Arial" w:cs="Arial"/>
              </w:rPr>
              <w:t>safety.</w:t>
            </w:r>
          </w:p>
          <w:p w:rsidR="008A2367" w:rsidRPr="006F567F" w:rsidRDefault="008A2367">
            <w:pPr>
              <w:pStyle w:val="TableParagraph"/>
              <w:spacing w:before="3"/>
              <w:rPr>
                <w:rFonts w:ascii="Arial" w:hAnsi="Arial" w:cs="Arial"/>
              </w:rPr>
            </w:pPr>
          </w:p>
          <w:p w:rsidR="008A2367" w:rsidRPr="006F567F" w:rsidRDefault="003F118F">
            <w:pPr>
              <w:pStyle w:val="TableParagraph"/>
              <w:ind w:left="30"/>
              <w:rPr>
                <w:rFonts w:ascii="Arial" w:hAnsi="Arial" w:cs="Arial"/>
              </w:rPr>
            </w:pPr>
            <w:r w:rsidRPr="006F567F">
              <w:rPr>
                <w:rFonts w:ascii="Arial" w:hAnsi="Arial" w:cs="Arial"/>
              </w:rPr>
              <w:t>Scheduling of the facilities listed below is the sole responsibility of the respective facility managers or their designees. However, all non-university requests, including requests by the SRU Athletic Association and the Slippery Rock Foundation, Inc., for these facilities should be directed to the Director of Conferences for coordination.</w:t>
            </w:r>
          </w:p>
          <w:p w:rsidR="008A2367" w:rsidRPr="006F567F" w:rsidRDefault="008A2367">
            <w:pPr>
              <w:pStyle w:val="TableParagraph"/>
              <w:spacing w:before="5"/>
              <w:rPr>
                <w:rFonts w:ascii="Arial" w:hAnsi="Arial" w:cs="Arial"/>
              </w:rPr>
            </w:pPr>
          </w:p>
          <w:p w:rsidR="006F567F" w:rsidRDefault="003F118F" w:rsidP="006F567F">
            <w:pPr>
              <w:pStyle w:val="TableParagraph"/>
              <w:tabs>
                <w:tab w:val="left" w:pos="1804"/>
                <w:tab w:val="left" w:pos="2274"/>
              </w:tabs>
              <w:ind w:left="93" w:right="3112"/>
              <w:rPr>
                <w:rFonts w:ascii="Arial" w:hAnsi="Arial" w:cs="Arial"/>
              </w:rPr>
            </w:pPr>
            <w:r w:rsidRPr="006F567F">
              <w:rPr>
                <w:rFonts w:ascii="Arial" w:hAnsi="Arial" w:cs="Arial"/>
              </w:rPr>
              <w:t>Food</w:t>
            </w:r>
            <w:r w:rsidRPr="006F567F">
              <w:rPr>
                <w:rFonts w:ascii="Arial" w:hAnsi="Arial" w:cs="Arial"/>
                <w:spacing w:val="-4"/>
              </w:rPr>
              <w:t xml:space="preserve"> </w:t>
            </w:r>
            <w:r w:rsidRPr="006F567F">
              <w:rPr>
                <w:rFonts w:ascii="Arial" w:hAnsi="Arial" w:cs="Arial"/>
              </w:rPr>
              <w:t>Service</w:t>
            </w:r>
            <w:r w:rsidRPr="006F567F">
              <w:rPr>
                <w:rFonts w:ascii="Arial" w:hAnsi="Arial" w:cs="Arial"/>
                <w:spacing w:val="-4"/>
              </w:rPr>
              <w:t xml:space="preserve"> </w:t>
            </w:r>
            <w:r w:rsidRPr="006F567F">
              <w:rPr>
                <w:rFonts w:ascii="Arial" w:hAnsi="Arial" w:cs="Arial"/>
              </w:rPr>
              <w:t>Facilities</w:t>
            </w:r>
            <w:r w:rsidR="006F567F">
              <w:rPr>
                <w:rFonts w:ascii="Arial" w:hAnsi="Arial" w:cs="Arial"/>
              </w:rPr>
              <w:t xml:space="preserve">   Alumni R</w:t>
            </w:r>
            <w:r w:rsidRPr="006F567F">
              <w:rPr>
                <w:rFonts w:ascii="Arial" w:hAnsi="Arial" w:cs="Arial"/>
              </w:rPr>
              <w:t xml:space="preserve">oom and Staff Center </w:t>
            </w:r>
          </w:p>
          <w:p w:rsidR="008A2367" w:rsidRPr="006F567F" w:rsidRDefault="003F118F">
            <w:pPr>
              <w:pStyle w:val="TableParagraph"/>
              <w:tabs>
                <w:tab w:val="left" w:pos="1804"/>
                <w:tab w:val="left" w:pos="2274"/>
              </w:tabs>
              <w:ind w:left="93" w:right="4173"/>
              <w:rPr>
                <w:rFonts w:ascii="Arial" w:hAnsi="Arial" w:cs="Arial"/>
              </w:rPr>
            </w:pPr>
            <w:r w:rsidRPr="006F567F">
              <w:rPr>
                <w:rFonts w:ascii="Arial" w:hAnsi="Arial" w:cs="Arial"/>
              </w:rPr>
              <w:t>Athletic</w:t>
            </w:r>
            <w:r w:rsidRPr="006F567F">
              <w:rPr>
                <w:rFonts w:ascii="Arial" w:hAnsi="Arial" w:cs="Arial"/>
                <w:spacing w:val="-6"/>
              </w:rPr>
              <w:t xml:space="preserve"> </w:t>
            </w:r>
            <w:r w:rsidRPr="006F567F">
              <w:rPr>
                <w:rFonts w:ascii="Arial" w:hAnsi="Arial" w:cs="Arial"/>
              </w:rPr>
              <w:t>Facilities</w:t>
            </w:r>
            <w:r w:rsidRPr="006F567F">
              <w:rPr>
                <w:rFonts w:ascii="Arial" w:hAnsi="Arial" w:cs="Arial"/>
              </w:rPr>
              <w:tab/>
            </w:r>
            <w:r w:rsidR="006F567F">
              <w:rPr>
                <w:rFonts w:ascii="Arial" w:hAnsi="Arial" w:cs="Arial"/>
              </w:rPr>
              <w:t xml:space="preserve">           </w:t>
            </w:r>
            <w:r w:rsidRPr="006F567F">
              <w:rPr>
                <w:rFonts w:ascii="Arial" w:hAnsi="Arial" w:cs="Arial"/>
              </w:rPr>
              <w:t>Swope Music</w:t>
            </w:r>
            <w:r w:rsidRPr="006F567F">
              <w:rPr>
                <w:rFonts w:ascii="Arial" w:hAnsi="Arial" w:cs="Arial"/>
                <w:spacing w:val="1"/>
              </w:rPr>
              <w:t xml:space="preserve"> </w:t>
            </w:r>
            <w:r w:rsidRPr="006F567F">
              <w:rPr>
                <w:rFonts w:ascii="Arial" w:hAnsi="Arial" w:cs="Arial"/>
              </w:rPr>
              <w:t>Building</w:t>
            </w:r>
          </w:p>
          <w:p w:rsidR="009D54B3" w:rsidRDefault="003F118F" w:rsidP="009D54B3">
            <w:pPr>
              <w:pStyle w:val="TableParagraph"/>
              <w:tabs>
                <w:tab w:val="left" w:pos="1652"/>
                <w:tab w:val="left" w:pos="1780"/>
              </w:tabs>
              <w:ind w:left="93" w:right="3112"/>
              <w:rPr>
                <w:rFonts w:ascii="Arial" w:hAnsi="Arial" w:cs="Arial"/>
              </w:rPr>
            </w:pPr>
            <w:r w:rsidRPr="006F567F">
              <w:rPr>
                <w:rFonts w:ascii="Arial" w:hAnsi="Arial" w:cs="Arial"/>
              </w:rPr>
              <w:t>University</w:t>
            </w:r>
            <w:r w:rsidRPr="006F567F">
              <w:rPr>
                <w:rFonts w:ascii="Arial" w:hAnsi="Arial" w:cs="Arial"/>
                <w:spacing w:val="-3"/>
              </w:rPr>
              <w:t xml:space="preserve"> </w:t>
            </w:r>
            <w:r w:rsidRPr="006F567F">
              <w:rPr>
                <w:rFonts w:ascii="Arial" w:hAnsi="Arial" w:cs="Arial"/>
              </w:rPr>
              <w:t>Union</w:t>
            </w:r>
            <w:r w:rsidR="009D54B3">
              <w:rPr>
                <w:rFonts w:ascii="Arial" w:hAnsi="Arial" w:cs="Arial"/>
              </w:rPr>
              <w:t xml:space="preserve">             </w:t>
            </w:r>
            <w:r w:rsidRPr="006F567F">
              <w:rPr>
                <w:rFonts w:ascii="Arial" w:hAnsi="Arial" w:cs="Arial"/>
              </w:rPr>
              <w:t xml:space="preserve">Ski </w:t>
            </w:r>
            <w:r w:rsidR="006F567F">
              <w:rPr>
                <w:rFonts w:ascii="Arial" w:hAnsi="Arial" w:cs="Arial"/>
              </w:rPr>
              <w:t>L</w:t>
            </w:r>
            <w:r w:rsidRPr="006F567F">
              <w:rPr>
                <w:rFonts w:ascii="Arial" w:hAnsi="Arial" w:cs="Arial"/>
              </w:rPr>
              <w:t xml:space="preserve">odge </w:t>
            </w:r>
          </w:p>
          <w:p w:rsidR="009D54B3" w:rsidRDefault="003F118F" w:rsidP="009D54B3">
            <w:pPr>
              <w:pStyle w:val="TableParagraph"/>
              <w:ind w:left="93" w:right="1402"/>
              <w:rPr>
                <w:rFonts w:ascii="Arial" w:hAnsi="Arial" w:cs="Arial"/>
                <w:w w:val="95"/>
              </w:rPr>
            </w:pPr>
            <w:r w:rsidRPr="006F567F">
              <w:rPr>
                <w:rFonts w:ascii="Arial" w:hAnsi="Arial" w:cs="Arial"/>
              </w:rPr>
              <w:t>Bailey</w:t>
            </w:r>
            <w:r w:rsidRPr="006F567F">
              <w:rPr>
                <w:rFonts w:ascii="Arial" w:hAnsi="Arial" w:cs="Arial"/>
                <w:spacing w:val="-4"/>
              </w:rPr>
              <w:t xml:space="preserve"> </w:t>
            </w:r>
            <w:r w:rsidR="006F567F">
              <w:rPr>
                <w:rFonts w:ascii="Arial" w:hAnsi="Arial" w:cs="Arial"/>
              </w:rPr>
              <w:t>Library</w:t>
            </w:r>
            <w:r w:rsidR="009D54B3">
              <w:rPr>
                <w:rFonts w:ascii="Arial" w:hAnsi="Arial" w:cs="Arial"/>
              </w:rPr>
              <w:t xml:space="preserve">                 P</w:t>
            </w:r>
            <w:r w:rsidRPr="006F567F">
              <w:rPr>
                <w:rFonts w:ascii="Arial" w:hAnsi="Arial" w:cs="Arial"/>
                <w:w w:val="95"/>
              </w:rPr>
              <w:t>lanetarium</w:t>
            </w:r>
            <w:r w:rsidR="009D54B3">
              <w:rPr>
                <w:rFonts w:ascii="Arial" w:hAnsi="Arial" w:cs="Arial"/>
                <w:w w:val="95"/>
              </w:rPr>
              <w:t xml:space="preserve">            </w:t>
            </w:r>
          </w:p>
          <w:p w:rsidR="006F567F" w:rsidRDefault="003F118F" w:rsidP="009D54B3">
            <w:pPr>
              <w:pStyle w:val="TableParagraph"/>
              <w:ind w:left="93" w:right="1582"/>
              <w:rPr>
                <w:rFonts w:ascii="Arial" w:hAnsi="Arial" w:cs="Arial"/>
              </w:rPr>
            </w:pPr>
            <w:r w:rsidRPr="006F567F">
              <w:rPr>
                <w:rFonts w:ascii="Arial" w:hAnsi="Arial" w:cs="Arial"/>
              </w:rPr>
              <w:t>Miller</w:t>
            </w:r>
            <w:r w:rsidRPr="006F567F">
              <w:rPr>
                <w:rFonts w:ascii="Arial" w:hAnsi="Arial" w:cs="Arial"/>
                <w:spacing w:val="-3"/>
              </w:rPr>
              <w:t xml:space="preserve"> </w:t>
            </w:r>
            <w:r w:rsidRPr="006F567F">
              <w:rPr>
                <w:rFonts w:ascii="Arial" w:hAnsi="Arial" w:cs="Arial"/>
              </w:rPr>
              <w:t>Auditorium</w:t>
            </w:r>
            <w:r w:rsidRPr="006F567F">
              <w:rPr>
                <w:rFonts w:ascii="Arial" w:hAnsi="Arial" w:cs="Arial"/>
              </w:rPr>
              <w:tab/>
            </w:r>
            <w:r w:rsidR="009D54B3">
              <w:rPr>
                <w:rFonts w:ascii="Arial" w:hAnsi="Arial" w:cs="Arial"/>
              </w:rPr>
              <w:t xml:space="preserve">     </w:t>
            </w:r>
            <w:proofErr w:type="spellStart"/>
            <w:r w:rsidRPr="006F567F">
              <w:rPr>
                <w:rFonts w:ascii="Arial" w:hAnsi="Arial" w:cs="Arial"/>
              </w:rPr>
              <w:t>Maltby</w:t>
            </w:r>
            <w:proofErr w:type="spellEnd"/>
            <w:r w:rsidRPr="006F567F">
              <w:rPr>
                <w:rFonts w:ascii="Arial" w:hAnsi="Arial" w:cs="Arial"/>
              </w:rPr>
              <w:t xml:space="preserve"> Conference Room </w:t>
            </w:r>
          </w:p>
          <w:p w:rsidR="008A2367" w:rsidRPr="006F567F" w:rsidRDefault="003F118F" w:rsidP="009D54B3">
            <w:pPr>
              <w:pStyle w:val="TableParagraph"/>
              <w:tabs>
                <w:tab w:val="left" w:pos="1732"/>
                <w:tab w:val="left" w:pos="1832"/>
              </w:tabs>
              <w:ind w:left="93" w:right="3022"/>
              <w:rPr>
                <w:rFonts w:ascii="Arial" w:hAnsi="Arial" w:cs="Arial"/>
              </w:rPr>
            </w:pPr>
            <w:r w:rsidRPr="006F567F">
              <w:rPr>
                <w:rFonts w:ascii="Arial" w:hAnsi="Arial" w:cs="Arial"/>
              </w:rPr>
              <w:t>Sheehy</w:t>
            </w:r>
            <w:r w:rsidRPr="006F567F">
              <w:rPr>
                <w:rFonts w:ascii="Arial" w:hAnsi="Arial" w:cs="Arial"/>
                <w:spacing w:val="-4"/>
              </w:rPr>
              <w:t xml:space="preserve"> </w:t>
            </w:r>
            <w:r w:rsidRPr="006F567F">
              <w:rPr>
                <w:rFonts w:ascii="Arial" w:hAnsi="Arial" w:cs="Arial"/>
              </w:rPr>
              <w:t>Theatre</w:t>
            </w:r>
            <w:r w:rsidRPr="006F567F">
              <w:rPr>
                <w:rFonts w:ascii="Arial" w:hAnsi="Arial" w:cs="Arial"/>
              </w:rPr>
              <w:tab/>
            </w:r>
            <w:r w:rsidR="009D54B3">
              <w:rPr>
                <w:rFonts w:ascii="Arial" w:hAnsi="Arial" w:cs="Arial"/>
              </w:rPr>
              <w:t xml:space="preserve">            </w:t>
            </w:r>
            <w:r w:rsidRPr="006F567F">
              <w:rPr>
                <w:rFonts w:ascii="Arial" w:hAnsi="Arial" w:cs="Arial"/>
              </w:rPr>
              <w:t>Old Main Conference</w:t>
            </w:r>
            <w:r w:rsidRPr="006F567F">
              <w:rPr>
                <w:rFonts w:ascii="Arial" w:hAnsi="Arial" w:cs="Arial"/>
                <w:spacing w:val="-9"/>
              </w:rPr>
              <w:t xml:space="preserve"> </w:t>
            </w:r>
            <w:r w:rsidRPr="006F567F">
              <w:rPr>
                <w:rFonts w:ascii="Arial" w:hAnsi="Arial" w:cs="Arial"/>
              </w:rPr>
              <w:t>Room</w:t>
            </w:r>
          </w:p>
        </w:tc>
      </w:tr>
      <w:tr w:rsidR="008A2367" w:rsidRPr="006F567F">
        <w:trPr>
          <w:trHeight w:val="2547"/>
        </w:trPr>
        <w:tc>
          <w:tcPr>
            <w:tcW w:w="443" w:type="dxa"/>
          </w:tcPr>
          <w:p w:rsidR="008A2367" w:rsidRPr="006F567F" w:rsidRDefault="003F118F">
            <w:pPr>
              <w:pStyle w:val="TableParagraph"/>
              <w:spacing w:before="135"/>
              <w:ind w:left="200"/>
              <w:rPr>
                <w:rFonts w:ascii="Arial" w:hAnsi="Arial" w:cs="Arial"/>
              </w:rPr>
            </w:pPr>
            <w:r w:rsidRPr="006F567F">
              <w:rPr>
                <w:rFonts w:ascii="Arial" w:hAnsi="Arial" w:cs="Arial"/>
              </w:rPr>
              <w:t>C.</w:t>
            </w:r>
          </w:p>
        </w:tc>
        <w:tc>
          <w:tcPr>
            <w:tcW w:w="9131" w:type="dxa"/>
          </w:tcPr>
          <w:p w:rsidR="008A2367" w:rsidRPr="006F567F" w:rsidRDefault="003F118F" w:rsidP="006F567F">
            <w:pPr>
              <w:pStyle w:val="TableParagraph"/>
              <w:spacing w:before="133"/>
              <w:ind w:left="30" w:right="241"/>
              <w:rPr>
                <w:rFonts w:ascii="Arial" w:hAnsi="Arial" w:cs="Arial"/>
              </w:rPr>
            </w:pPr>
            <w:r w:rsidRPr="006F567F">
              <w:rPr>
                <w:rFonts w:ascii="Arial" w:hAnsi="Arial" w:cs="Arial"/>
              </w:rPr>
              <w:t xml:space="preserve">Criteria for the Use of University Facilities and Property: All non-university parties, including the SRU Athletic Association and the Slippery Rock Foundation, Inc., seeking use of university facilities and Services Agreement in accordance with the operating policies and practices established by the President. Program content is to be described in the Facilities and Services Agreement and must be </w:t>
            </w:r>
            <w:proofErr w:type="spellStart"/>
            <w:r w:rsidRPr="009D54B3">
              <w:rPr>
                <w:rFonts w:ascii="Arial" w:hAnsi="Arial" w:cs="Arial"/>
                <w:highlight w:val="yellow"/>
              </w:rPr>
              <w:t>esented</w:t>
            </w:r>
            <w:proofErr w:type="spellEnd"/>
            <w:r w:rsidRPr="006F567F">
              <w:rPr>
                <w:rFonts w:ascii="Arial" w:hAnsi="Arial" w:cs="Arial"/>
              </w:rPr>
              <w:t xml:space="preserve"> as stated. The number of participants and the nature of the program activity must</w:t>
            </w:r>
            <w:r w:rsidRPr="006F567F">
              <w:rPr>
                <w:rFonts w:ascii="Arial" w:hAnsi="Arial" w:cs="Arial"/>
                <w:spacing w:val="-44"/>
              </w:rPr>
              <w:t xml:space="preserve"> </w:t>
            </w:r>
            <w:r w:rsidRPr="006F567F">
              <w:rPr>
                <w:rFonts w:ascii="Arial" w:hAnsi="Arial" w:cs="Arial"/>
              </w:rPr>
              <w:t>conform to the capacity and capabilities of the facility assigned to any particular event. Programmed activities are not permitted to reflect negatively or disparagingly on any person because of race, color, religion, national origin, ancestry, handicap, age, or sex. In no case may university facilities be used to establish or maintain an office or headquarters for a political candidate or to support</w:t>
            </w:r>
            <w:r w:rsidRPr="006F567F">
              <w:rPr>
                <w:rFonts w:ascii="Arial" w:hAnsi="Arial" w:cs="Arial"/>
                <w:spacing w:val="-36"/>
              </w:rPr>
              <w:t xml:space="preserve"> </w:t>
            </w:r>
            <w:r w:rsidRPr="006F567F">
              <w:rPr>
                <w:rFonts w:ascii="Arial" w:hAnsi="Arial" w:cs="Arial"/>
              </w:rPr>
              <w:t>a</w:t>
            </w:r>
            <w:r w:rsidR="006F567F">
              <w:rPr>
                <w:rFonts w:ascii="Arial" w:hAnsi="Arial" w:cs="Arial"/>
              </w:rPr>
              <w:t xml:space="preserve"> </w:t>
            </w:r>
            <w:r w:rsidRPr="006F567F">
              <w:rPr>
                <w:rFonts w:ascii="Arial" w:hAnsi="Arial" w:cs="Arial"/>
              </w:rPr>
              <w:t>partisan political cause.</w:t>
            </w:r>
          </w:p>
        </w:tc>
      </w:tr>
    </w:tbl>
    <w:p w:rsidR="00437E62" w:rsidRPr="006F567F" w:rsidRDefault="00437E62">
      <w:pPr>
        <w:rPr>
          <w:rFonts w:ascii="Arial" w:hAnsi="Arial" w:cs="Arial"/>
        </w:rPr>
      </w:pPr>
    </w:p>
    <w:sectPr w:rsidR="00437E62" w:rsidRPr="006F567F">
      <w:pgSz w:w="12240" w:h="15840"/>
      <w:pgMar w:top="1500" w:right="120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F7235"/>
    <w:multiLevelType w:val="hybridMultilevel"/>
    <w:tmpl w:val="3238FBA0"/>
    <w:lvl w:ilvl="0" w:tplc="BF62CE8C">
      <w:start w:val="1"/>
      <w:numFmt w:val="upperLetter"/>
      <w:lvlText w:val="%1."/>
      <w:lvlJc w:val="left"/>
      <w:pPr>
        <w:ind w:left="384" w:hanging="274"/>
        <w:jc w:val="left"/>
      </w:pPr>
      <w:rPr>
        <w:rFonts w:ascii="Verdana" w:eastAsia="Verdana" w:hAnsi="Verdana" w:cs="Verdana" w:hint="default"/>
        <w:w w:val="99"/>
        <w:sz w:val="20"/>
        <w:szCs w:val="20"/>
        <w:lang w:val="en-US" w:eastAsia="en-US" w:bidi="en-US"/>
      </w:rPr>
    </w:lvl>
    <w:lvl w:ilvl="1" w:tplc="879E5F08">
      <w:numFmt w:val="bullet"/>
      <w:lvlText w:val="•"/>
      <w:lvlJc w:val="left"/>
      <w:pPr>
        <w:ind w:left="1278" w:hanging="274"/>
      </w:pPr>
      <w:rPr>
        <w:rFonts w:hint="default"/>
        <w:lang w:val="en-US" w:eastAsia="en-US" w:bidi="en-US"/>
      </w:rPr>
    </w:lvl>
    <w:lvl w:ilvl="2" w:tplc="138E9D32">
      <w:numFmt w:val="bullet"/>
      <w:lvlText w:val="•"/>
      <w:lvlJc w:val="left"/>
      <w:pPr>
        <w:ind w:left="2176" w:hanging="274"/>
      </w:pPr>
      <w:rPr>
        <w:rFonts w:hint="default"/>
        <w:lang w:val="en-US" w:eastAsia="en-US" w:bidi="en-US"/>
      </w:rPr>
    </w:lvl>
    <w:lvl w:ilvl="3" w:tplc="1B804FE6">
      <w:numFmt w:val="bullet"/>
      <w:lvlText w:val="•"/>
      <w:lvlJc w:val="left"/>
      <w:pPr>
        <w:ind w:left="3074" w:hanging="274"/>
      </w:pPr>
      <w:rPr>
        <w:rFonts w:hint="default"/>
        <w:lang w:val="en-US" w:eastAsia="en-US" w:bidi="en-US"/>
      </w:rPr>
    </w:lvl>
    <w:lvl w:ilvl="4" w:tplc="9232F374">
      <w:numFmt w:val="bullet"/>
      <w:lvlText w:val="•"/>
      <w:lvlJc w:val="left"/>
      <w:pPr>
        <w:ind w:left="3972" w:hanging="274"/>
      </w:pPr>
      <w:rPr>
        <w:rFonts w:hint="default"/>
        <w:lang w:val="en-US" w:eastAsia="en-US" w:bidi="en-US"/>
      </w:rPr>
    </w:lvl>
    <w:lvl w:ilvl="5" w:tplc="3F864A3A">
      <w:numFmt w:val="bullet"/>
      <w:lvlText w:val="•"/>
      <w:lvlJc w:val="left"/>
      <w:pPr>
        <w:ind w:left="4870" w:hanging="274"/>
      </w:pPr>
      <w:rPr>
        <w:rFonts w:hint="default"/>
        <w:lang w:val="en-US" w:eastAsia="en-US" w:bidi="en-US"/>
      </w:rPr>
    </w:lvl>
    <w:lvl w:ilvl="6" w:tplc="10B0984A">
      <w:numFmt w:val="bullet"/>
      <w:lvlText w:val="•"/>
      <w:lvlJc w:val="left"/>
      <w:pPr>
        <w:ind w:left="5768" w:hanging="274"/>
      </w:pPr>
      <w:rPr>
        <w:rFonts w:hint="default"/>
        <w:lang w:val="en-US" w:eastAsia="en-US" w:bidi="en-US"/>
      </w:rPr>
    </w:lvl>
    <w:lvl w:ilvl="7" w:tplc="EC424460">
      <w:numFmt w:val="bullet"/>
      <w:lvlText w:val="•"/>
      <w:lvlJc w:val="left"/>
      <w:pPr>
        <w:ind w:left="6666" w:hanging="274"/>
      </w:pPr>
      <w:rPr>
        <w:rFonts w:hint="default"/>
        <w:lang w:val="en-US" w:eastAsia="en-US" w:bidi="en-US"/>
      </w:rPr>
    </w:lvl>
    <w:lvl w:ilvl="8" w:tplc="790E6C0E">
      <w:numFmt w:val="bullet"/>
      <w:lvlText w:val="•"/>
      <w:lvlJc w:val="left"/>
      <w:pPr>
        <w:ind w:left="7564" w:hanging="274"/>
      </w:pPr>
      <w:rPr>
        <w:rFonts w:hint="default"/>
        <w:lang w:val="en-US" w:eastAsia="en-US" w:bidi="en-US"/>
      </w:rPr>
    </w:lvl>
  </w:abstractNum>
  <w:abstractNum w:abstractNumId="1" w15:restartNumberingAfterBreak="0">
    <w:nsid w:val="242F5498"/>
    <w:multiLevelType w:val="hybridMultilevel"/>
    <w:tmpl w:val="3380430C"/>
    <w:lvl w:ilvl="0" w:tplc="981021B4">
      <w:start w:val="1"/>
      <w:numFmt w:val="decimal"/>
      <w:lvlText w:val="%1."/>
      <w:lvlJc w:val="left"/>
      <w:pPr>
        <w:ind w:left="371" w:hanging="231"/>
        <w:jc w:val="left"/>
      </w:pPr>
      <w:rPr>
        <w:rFonts w:ascii="Tahoma" w:eastAsia="Tahoma" w:hAnsi="Tahoma" w:cs="Tahoma" w:hint="default"/>
        <w:spacing w:val="-1"/>
        <w:w w:val="99"/>
        <w:sz w:val="20"/>
        <w:szCs w:val="20"/>
        <w:lang w:val="en-US" w:eastAsia="en-US" w:bidi="en-US"/>
      </w:rPr>
    </w:lvl>
    <w:lvl w:ilvl="1" w:tplc="4FF8493C">
      <w:numFmt w:val="bullet"/>
      <w:lvlText w:val="•"/>
      <w:lvlJc w:val="left"/>
      <w:pPr>
        <w:ind w:left="1255" w:hanging="231"/>
      </w:pPr>
      <w:rPr>
        <w:rFonts w:hint="default"/>
        <w:lang w:val="en-US" w:eastAsia="en-US" w:bidi="en-US"/>
      </w:rPr>
    </w:lvl>
    <w:lvl w:ilvl="2" w:tplc="D7C429CE">
      <w:numFmt w:val="bullet"/>
      <w:lvlText w:val="•"/>
      <w:lvlJc w:val="left"/>
      <w:pPr>
        <w:ind w:left="2130" w:hanging="231"/>
      </w:pPr>
      <w:rPr>
        <w:rFonts w:hint="default"/>
        <w:lang w:val="en-US" w:eastAsia="en-US" w:bidi="en-US"/>
      </w:rPr>
    </w:lvl>
    <w:lvl w:ilvl="3" w:tplc="4484CF52">
      <w:numFmt w:val="bullet"/>
      <w:lvlText w:val="•"/>
      <w:lvlJc w:val="left"/>
      <w:pPr>
        <w:ind w:left="3005" w:hanging="231"/>
      </w:pPr>
      <w:rPr>
        <w:rFonts w:hint="default"/>
        <w:lang w:val="en-US" w:eastAsia="en-US" w:bidi="en-US"/>
      </w:rPr>
    </w:lvl>
    <w:lvl w:ilvl="4" w:tplc="2DE064F6">
      <w:numFmt w:val="bullet"/>
      <w:lvlText w:val="•"/>
      <w:lvlJc w:val="left"/>
      <w:pPr>
        <w:ind w:left="3880" w:hanging="231"/>
      </w:pPr>
      <w:rPr>
        <w:rFonts w:hint="default"/>
        <w:lang w:val="en-US" w:eastAsia="en-US" w:bidi="en-US"/>
      </w:rPr>
    </w:lvl>
    <w:lvl w:ilvl="5" w:tplc="C3D41230">
      <w:numFmt w:val="bullet"/>
      <w:lvlText w:val="•"/>
      <w:lvlJc w:val="left"/>
      <w:pPr>
        <w:ind w:left="4755" w:hanging="231"/>
      </w:pPr>
      <w:rPr>
        <w:rFonts w:hint="default"/>
        <w:lang w:val="en-US" w:eastAsia="en-US" w:bidi="en-US"/>
      </w:rPr>
    </w:lvl>
    <w:lvl w:ilvl="6" w:tplc="3ACAE9B8">
      <w:numFmt w:val="bullet"/>
      <w:lvlText w:val="•"/>
      <w:lvlJc w:val="left"/>
      <w:pPr>
        <w:ind w:left="5630" w:hanging="231"/>
      </w:pPr>
      <w:rPr>
        <w:rFonts w:hint="default"/>
        <w:lang w:val="en-US" w:eastAsia="en-US" w:bidi="en-US"/>
      </w:rPr>
    </w:lvl>
    <w:lvl w:ilvl="7" w:tplc="FC501A08">
      <w:numFmt w:val="bullet"/>
      <w:lvlText w:val="•"/>
      <w:lvlJc w:val="left"/>
      <w:pPr>
        <w:ind w:left="6505" w:hanging="231"/>
      </w:pPr>
      <w:rPr>
        <w:rFonts w:hint="default"/>
        <w:lang w:val="en-US" w:eastAsia="en-US" w:bidi="en-US"/>
      </w:rPr>
    </w:lvl>
    <w:lvl w:ilvl="8" w:tplc="15084408">
      <w:numFmt w:val="bullet"/>
      <w:lvlText w:val="•"/>
      <w:lvlJc w:val="left"/>
      <w:pPr>
        <w:ind w:left="7380" w:hanging="23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67"/>
    <w:rsid w:val="002735A9"/>
    <w:rsid w:val="003A4DCE"/>
    <w:rsid w:val="003F118F"/>
    <w:rsid w:val="00437E62"/>
    <w:rsid w:val="006F567F"/>
    <w:rsid w:val="008A2367"/>
    <w:rsid w:val="009D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E3E1"/>
  <w15:docId w15:val="{B636D1C8-B495-4C43-AC5A-B756B591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s.scot-mitchell</dc:creator>
  <cp:lastModifiedBy>Kedanis, Deborah L.</cp:lastModifiedBy>
  <cp:revision>2</cp:revision>
  <dcterms:created xsi:type="dcterms:W3CDTF">2018-11-02T14:00:00Z</dcterms:created>
  <dcterms:modified xsi:type="dcterms:W3CDTF">2018-11-02T14:00:00Z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2011-09-06T00:00:00Z</vt:filetime>
  </property>
  <property fmtid="{D5CDD505-2E9C-101B-9397-08002B2CF9AE}" pid="3" name="Creator">
    <vt:lpwstr>Microsoft® Word 2010</vt:lpwstr>
  </property>
  <property fmtid="{D5CDD505-2E9C-101B-9397-08002B2CF9AE}" pid="4" name="LastSaved">
    <vt:filetime>2018-08-27T00:00:00Z</vt:filetime>
  </property>
</Properties>
</file>