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177" w:rsidRDefault="00BD1177" w:rsidP="00BD1177">
      <w:pPr>
        <w:pStyle w:val="TableParagraph"/>
        <w:ind w:left="29" w:right="199"/>
        <w:rPr>
          <w:rFonts w:ascii="Arial" w:hAnsi="Arial" w:cs="Arial"/>
        </w:rPr>
      </w:pPr>
    </w:p>
    <w:p w:rsidR="00BD1177" w:rsidRDefault="00BD1177" w:rsidP="00BD1177">
      <w:pPr>
        <w:pStyle w:val="Heading1"/>
        <w:jc w:val="center"/>
        <w:rPr>
          <w:rFonts w:ascii="Arial" w:eastAsia="Tahoma" w:hAnsi="Arial" w:cs="Arial"/>
          <w:sz w:val="28"/>
          <w:szCs w:val="28"/>
        </w:rPr>
      </w:pPr>
      <w:r>
        <w:rPr>
          <w:rFonts w:ascii="Arial" w:hAnsi="Arial" w:cs="Arial"/>
          <w:sz w:val="28"/>
          <w:szCs w:val="28"/>
        </w:rPr>
        <w:t>FACILITIES, PLANNING &amp; ENVIRONMENTAL SAFETY</w:t>
      </w:r>
    </w:p>
    <w:p w:rsidR="00BD1177" w:rsidRPr="002628C2" w:rsidRDefault="00BD1177" w:rsidP="002628C2">
      <w:pPr>
        <w:pStyle w:val="NoSpacing"/>
        <w:jc w:val="center"/>
        <w:rPr>
          <w:rFonts w:ascii="Arial" w:hAnsi="Arial" w:cs="Arial"/>
          <w:b/>
          <w:sz w:val="24"/>
          <w:szCs w:val="24"/>
        </w:rPr>
      </w:pPr>
      <w:r w:rsidRPr="002628C2">
        <w:rPr>
          <w:rFonts w:ascii="Arial" w:hAnsi="Arial" w:cs="Arial"/>
          <w:b/>
          <w:sz w:val="24"/>
          <w:szCs w:val="24"/>
        </w:rPr>
        <w:t>FLEET OPERATIONS</w:t>
      </w:r>
    </w:p>
    <w:p w:rsidR="005D37C0" w:rsidRPr="002628C2" w:rsidRDefault="00BD1177" w:rsidP="002628C2">
      <w:pPr>
        <w:pStyle w:val="NoSpacing"/>
        <w:jc w:val="center"/>
        <w:rPr>
          <w:rFonts w:ascii="Arial" w:hAnsi="Arial" w:cs="Arial"/>
          <w:b/>
          <w:sz w:val="24"/>
          <w:szCs w:val="24"/>
        </w:rPr>
      </w:pPr>
      <w:r w:rsidRPr="002628C2">
        <w:rPr>
          <w:rFonts w:ascii="Arial" w:hAnsi="Arial" w:cs="Arial"/>
          <w:b/>
          <w:sz w:val="24"/>
          <w:szCs w:val="24"/>
        </w:rPr>
        <w:t>BACK UP POLICY FOR LARGE</w:t>
      </w:r>
      <w:r w:rsidRPr="002628C2">
        <w:rPr>
          <w:rFonts w:ascii="Arial" w:hAnsi="Arial" w:cs="Arial"/>
          <w:b/>
          <w:spacing w:val="-10"/>
          <w:sz w:val="24"/>
          <w:szCs w:val="24"/>
        </w:rPr>
        <w:t xml:space="preserve"> </w:t>
      </w:r>
      <w:r w:rsidRPr="002628C2">
        <w:rPr>
          <w:rFonts w:ascii="Arial" w:hAnsi="Arial" w:cs="Arial"/>
          <w:b/>
          <w:sz w:val="24"/>
          <w:szCs w:val="24"/>
        </w:rPr>
        <w:t>TRUCKS</w:t>
      </w:r>
    </w:p>
    <w:p w:rsidR="005D37C0" w:rsidRPr="002628C2" w:rsidRDefault="00BD1177" w:rsidP="002628C2">
      <w:pPr>
        <w:pStyle w:val="NoSpacing"/>
        <w:jc w:val="center"/>
        <w:rPr>
          <w:rFonts w:ascii="Arial" w:hAnsi="Arial" w:cs="Arial"/>
          <w:b/>
          <w:sz w:val="24"/>
          <w:szCs w:val="24"/>
        </w:rPr>
      </w:pPr>
      <w:r w:rsidRPr="002628C2">
        <w:rPr>
          <w:rFonts w:ascii="Arial" w:hAnsi="Arial" w:cs="Arial"/>
          <w:b/>
          <w:sz w:val="24"/>
          <w:szCs w:val="24"/>
        </w:rPr>
        <w:t>PROCEDURE #F&amp;P-4830-09</w:t>
      </w:r>
    </w:p>
    <w:p w:rsidR="006F581E" w:rsidRPr="00BD1177" w:rsidRDefault="006F581E" w:rsidP="00BD1177">
      <w:pPr>
        <w:pStyle w:val="BodyText"/>
        <w:spacing w:line="206" w:lineRule="exact"/>
        <w:ind w:right="1640"/>
        <w:rPr>
          <w:rFonts w:ascii="Arial" w:hAnsi="Arial" w:cs="Arial"/>
          <w:sz w:val="24"/>
          <w:szCs w:val="24"/>
        </w:rPr>
      </w:pPr>
    </w:p>
    <w:p w:rsidR="005D37C0" w:rsidRPr="00BD1177" w:rsidRDefault="005D37C0">
      <w:pPr>
        <w:spacing w:before="5" w:after="1"/>
        <w:rPr>
          <w:rFonts w:ascii="Arial" w:hAnsi="Arial" w:cs="Arial"/>
          <w:b/>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9360"/>
      </w:tblGrid>
      <w:tr w:rsidR="005D37C0" w:rsidTr="0025753A">
        <w:trPr>
          <w:trHeight w:val="369"/>
        </w:trPr>
        <w:tc>
          <w:tcPr>
            <w:tcW w:w="9360" w:type="dxa"/>
          </w:tcPr>
          <w:p w:rsidR="005D37C0" w:rsidRPr="00BD1177" w:rsidRDefault="00BD1177">
            <w:pPr>
              <w:pStyle w:val="TableParagraph"/>
              <w:spacing w:before="96"/>
              <w:rPr>
                <w:rFonts w:ascii="Arial" w:hAnsi="Arial" w:cs="Arial"/>
                <w:b/>
                <w:sz w:val="24"/>
                <w:szCs w:val="24"/>
              </w:rPr>
            </w:pPr>
            <w:r w:rsidRPr="00BD1177">
              <w:rPr>
                <w:rFonts w:ascii="Arial" w:hAnsi="Arial" w:cs="Arial"/>
                <w:b/>
                <w:sz w:val="24"/>
                <w:szCs w:val="24"/>
              </w:rPr>
              <w:t>PURPOSE</w:t>
            </w:r>
            <w:bookmarkStart w:id="0" w:name="_GoBack"/>
            <w:bookmarkEnd w:id="0"/>
          </w:p>
        </w:tc>
      </w:tr>
      <w:tr w:rsidR="005D37C0">
        <w:trPr>
          <w:trHeight w:val="665"/>
        </w:trPr>
        <w:tc>
          <w:tcPr>
            <w:tcW w:w="9360" w:type="dxa"/>
          </w:tcPr>
          <w:p w:rsidR="005D37C0" w:rsidRPr="00BD1177" w:rsidRDefault="00BD1177">
            <w:pPr>
              <w:pStyle w:val="TableParagraph"/>
              <w:spacing w:before="29"/>
              <w:rPr>
                <w:rFonts w:ascii="Arial" w:hAnsi="Arial" w:cs="Arial"/>
              </w:rPr>
            </w:pPr>
            <w:r w:rsidRPr="00BD1177">
              <w:rPr>
                <w:rFonts w:ascii="Arial" w:hAnsi="Arial" w:cs="Arial"/>
              </w:rPr>
              <w:t>To provide a uniform policy statement and procedure to be utilized when backing up large trucks. Large trucks are defined as all box trucks and trash compactor trucks.</w:t>
            </w:r>
          </w:p>
        </w:tc>
      </w:tr>
      <w:tr w:rsidR="005D37C0">
        <w:trPr>
          <w:trHeight w:val="423"/>
        </w:trPr>
        <w:tc>
          <w:tcPr>
            <w:tcW w:w="9360" w:type="dxa"/>
          </w:tcPr>
          <w:p w:rsidR="005D37C0" w:rsidRPr="00BD1177" w:rsidRDefault="00BD1177">
            <w:pPr>
              <w:pStyle w:val="TableParagraph"/>
              <w:spacing w:before="150"/>
              <w:rPr>
                <w:rFonts w:ascii="Arial" w:hAnsi="Arial" w:cs="Arial"/>
                <w:b/>
                <w:sz w:val="24"/>
                <w:szCs w:val="24"/>
              </w:rPr>
            </w:pPr>
            <w:r w:rsidRPr="00BD1177">
              <w:rPr>
                <w:rFonts w:ascii="Arial" w:hAnsi="Arial" w:cs="Arial"/>
                <w:b/>
                <w:sz w:val="24"/>
                <w:szCs w:val="24"/>
              </w:rPr>
              <w:t>OBJECTIVE</w:t>
            </w:r>
          </w:p>
        </w:tc>
      </w:tr>
      <w:tr w:rsidR="005D37C0">
        <w:trPr>
          <w:trHeight w:val="664"/>
        </w:trPr>
        <w:tc>
          <w:tcPr>
            <w:tcW w:w="9360" w:type="dxa"/>
          </w:tcPr>
          <w:p w:rsidR="005D37C0" w:rsidRPr="00BD1177" w:rsidRDefault="00BD1177">
            <w:pPr>
              <w:pStyle w:val="TableParagraph"/>
              <w:spacing w:before="29"/>
              <w:rPr>
                <w:rFonts w:ascii="Arial" w:hAnsi="Arial" w:cs="Arial"/>
              </w:rPr>
            </w:pPr>
            <w:r w:rsidRPr="00BD1177">
              <w:rPr>
                <w:rFonts w:ascii="Arial" w:hAnsi="Arial" w:cs="Arial"/>
              </w:rPr>
              <w:t>To establish a uniform set of procedures that will provide safety benefits to the University community.</w:t>
            </w:r>
          </w:p>
        </w:tc>
      </w:tr>
      <w:tr w:rsidR="005D37C0">
        <w:trPr>
          <w:trHeight w:val="423"/>
        </w:trPr>
        <w:tc>
          <w:tcPr>
            <w:tcW w:w="9360" w:type="dxa"/>
          </w:tcPr>
          <w:p w:rsidR="005D37C0" w:rsidRPr="00BD1177" w:rsidRDefault="00BD1177">
            <w:pPr>
              <w:pStyle w:val="TableParagraph"/>
              <w:spacing w:before="149"/>
              <w:rPr>
                <w:rFonts w:ascii="Arial" w:hAnsi="Arial" w:cs="Arial"/>
                <w:b/>
                <w:sz w:val="24"/>
                <w:szCs w:val="24"/>
              </w:rPr>
            </w:pPr>
            <w:r w:rsidRPr="00BD1177">
              <w:rPr>
                <w:rFonts w:ascii="Arial" w:hAnsi="Arial" w:cs="Arial"/>
                <w:b/>
                <w:sz w:val="24"/>
                <w:szCs w:val="24"/>
              </w:rPr>
              <w:t>POLICY</w:t>
            </w:r>
          </w:p>
        </w:tc>
      </w:tr>
      <w:tr w:rsidR="005D37C0">
        <w:trPr>
          <w:trHeight w:val="909"/>
        </w:trPr>
        <w:tc>
          <w:tcPr>
            <w:tcW w:w="9360" w:type="dxa"/>
          </w:tcPr>
          <w:p w:rsidR="005D37C0" w:rsidRPr="00BD1177" w:rsidRDefault="00BD1177">
            <w:pPr>
              <w:pStyle w:val="TableParagraph"/>
              <w:spacing w:before="31"/>
              <w:rPr>
                <w:rFonts w:ascii="Arial" w:hAnsi="Arial" w:cs="Arial"/>
              </w:rPr>
            </w:pPr>
            <w:r w:rsidRPr="00BD1177">
              <w:rPr>
                <w:rFonts w:ascii="Arial" w:hAnsi="Arial" w:cs="Arial"/>
              </w:rPr>
              <w:t>Operation of University-owned vehicles will follow the laws set forth in the Pennsylvania Vehicle Code and Drivers Manual and the following procedures established by the Facilities and Planning Department and the Safety Department.</w:t>
            </w:r>
          </w:p>
        </w:tc>
      </w:tr>
      <w:tr w:rsidR="005D37C0">
        <w:trPr>
          <w:trHeight w:val="446"/>
        </w:trPr>
        <w:tc>
          <w:tcPr>
            <w:tcW w:w="9360" w:type="dxa"/>
          </w:tcPr>
          <w:p w:rsidR="005D37C0" w:rsidRPr="00BD1177" w:rsidRDefault="00BD1177">
            <w:pPr>
              <w:pStyle w:val="TableParagraph"/>
              <w:spacing w:before="150"/>
              <w:rPr>
                <w:rFonts w:ascii="Arial" w:hAnsi="Arial" w:cs="Arial"/>
                <w:b/>
                <w:sz w:val="24"/>
                <w:szCs w:val="24"/>
              </w:rPr>
            </w:pPr>
            <w:r w:rsidRPr="00BD1177">
              <w:rPr>
                <w:rFonts w:ascii="Arial" w:hAnsi="Arial" w:cs="Arial"/>
                <w:b/>
                <w:sz w:val="24"/>
                <w:szCs w:val="24"/>
              </w:rPr>
              <w:t>PROCEDURE</w:t>
            </w:r>
          </w:p>
        </w:tc>
      </w:tr>
      <w:tr w:rsidR="005D37C0">
        <w:trPr>
          <w:trHeight w:val="2352"/>
        </w:trPr>
        <w:tc>
          <w:tcPr>
            <w:tcW w:w="9360" w:type="dxa"/>
          </w:tcPr>
          <w:p w:rsidR="005D37C0" w:rsidRPr="00BD1177" w:rsidRDefault="00BD1177">
            <w:pPr>
              <w:pStyle w:val="TableParagraph"/>
              <w:numPr>
                <w:ilvl w:val="0"/>
                <w:numId w:val="1"/>
              </w:numPr>
              <w:tabs>
                <w:tab w:val="left" w:pos="385"/>
              </w:tabs>
              <w:spacing w:before="52"/>
              <w:ind w:right="1029"/>
              <w:rPr>
                <w:rFonts w:ascii="Arial" w:hAnsi="Arial" w:cs="Arial"/>
              </w:rPr>
            </w:pPr>
            <w:r w:rsidRPr="00BD1177">
              <w:rPr>
                <w:rFonts w:ascii="Arial" w:hAnsi="Arial" w:cs="Arial"/>
              </w:rPr>
              <w:t>When backing up these large vehicles, the helper or passenger must assist</w:t>
            </w:r>
            <w:r w:rsidRPr="00BD1177">
              <w:rPr>
                <w:rFonts w:ascii="Arial" w:hAnsi="Arial" w:cs="Arial"/>
                <w:spacing w:val="-29"/>
              </w:rPr>
              <w:t xml:space="preserve"> </w:t>
            </w:r>
            <w:r w:rsidRPr="00BD1177">
              <w:rPr>
                <w:rFonts w:ascii="Arial" w:hAnsi="Arial" w:cs="Arial"/>
              </w:rPr>
              <w:t>the operator.</w:t>
            </w:r>
          </w:p>
          <w:p w:rsidR="005D37C0" w:rsidRPr="00BD1177" w:rsidRDefault="005D37C0">
            <w:pPr>
              <w:pStyle w:val="TableParagraph"/>
              <w:spacing w:before="7"/>
              <w:ind w:left="0"/>
              <w:rPr>
                <w:rFonts w:ascii="Arial" w:hAnsi="Arial" w:cs="Arial"/>
                <w:b/>
              </w:rPr>
            </w:pPr>
          </w:p>
          <w:p w:rsidR="005D37C0" w:rsidRPr="00BD1177" w:rsidRDefault="00BD1177">
            <w:pPr>
              <w:pStyle w:val="TableParagraph"/>
              <w:numPr>
                <w:ilvl w:val="0"/>
                <w:numId w:val="1"/>
              </w:numPr>
              <w:tabs>
                <w:tab w:val="left" w:pos="385"/>
              </w:tabs>
              <w:ind w:right="102"/>
              <w:rPr>
                <w:rFonts w:ascii="Arial" w:hAnsi="Arial" w:cs="Arial"/>
              </w:rPr>
            </w:pPr>
            <w:r w:rsidRPr="00BD1177">
              <w:rPr>
                <w:rFonts w:ascii="Arial" w:hAnsi="Arial" w:cs="Arial"/>
              </w:rPr>
              <w:t>The helper or passenger must be out of the vehicle, in a position where they are able</w:t>
            </w:r>
            <w:r w:rsidRPr="00BD1177">
              <w:rPr>
                <w:rFonts w:ascii="Arial" w:hAnsi="Arial" w:cs="Arial"/>
                <w:spacing w:val="-35"/>
              </w:rPr>
              <w:t xml:space="preserve"> </w:t>
            </w:r>
            <w:r w:rsidRPr="00BD1177">
              <w:rPr>
                <w:rFonts w:ascii="Arial" w:hAnsi="Arial" w:cs="Arial"/>
              </w:rPr>
              <w:t>to determine a safe path for the vehicle and able to be seen by the operator. The helper or passenger is never to position themselves directly in back of the</w:t>
            </w:r>
            <w:r w:rsidRPr="00BD1177">
              <w:rPr>
                <w:rFonts w:ascii="Arial" w:hAnsi="Arial" w:cs="Arial"/>
                <w:spacing w:val="-23"/>
              </w:rPr>
              <w:t xml:space="preserve"> </w:t>
            </w:r>
            <w:r w:rsidRPr="00BD1177">
              <w:rPr>
                <w:rFonts w:ascii="Arial" w:hAnsi="Arial" w:cs="Arial"/>
              </w:rPr>
              <w:t>vehicle.</w:t>
            </w:r>
          </w:p>
          <w:p w:rsidR="005D37C0" w:rsidRPr="00BD1177" w:rsidRDefault="005D37C0">
            <w:pPr>
              <w:pStyle w:val="TableParagraph"/>
              <w:spacing w:before="4"/>
              <w:ind w:left="0"/>
              <w:rPr>
                <w:rFonts w:ascii="Arial" w:hAnsi="Arial" w:cs="Arial"/>
                <w:b/>
              </w:rPr>
            </w:pPr>
          </w:p>
          <w:p w:rsidR="005D37C0" w:rsidRPr="00BD1177" w:rsidRDefault="00BD1177">
            <w:pPr>
              <w:pStyle w:val="TableParagraph"/>
              <w:numPr>
                <w:ilvl w:val="0"/>
                <w:numId w:val="1"/>
              </w:numPr>
              <w:tabs>
                <w:tab w:val="left" w:pos="385"/>
              </w:tabs>
              <w:spacing w:line="242" w:lineRule="exact"/>
              <w:ind w:right="393"/>
              <w:rPr>
                <w:rFonts w:ascii="Arial" w:hAnsi="Arial" w:cs="Arial"/>
              </w:rPr>
            </w:pPr>
            <w:r w:rsidRPr="00BD1177">
              <w:rPr>
                <w:rFonts w:ascii="Arial" w:hAnsi="Arial" w:cs="Arial"/>
              </w:rPr>
              <w:t>The vehicle operator is responsible for the safe operation of the vehicle and must</w:t>
            </w:r>
            <w:r w:rsidRPr="00BD1177">
              <w:rPr>
                <w:rFonts w:ascii="Arial" w:hAnsi="Arial" w:cs="Arial"/>
                <w:spacing w:val="-36"/>
              </w:rPr>
              <w:t xml:space="preserve"> </w:t>
            </w:r>
            <w:r w:rsidRPr="00BD1177">
              <w:rPr>
                <w:rFonts w:ascii="Arial" w:hAnsi="Arial" w:cs="Arial"/>
              </w:rPr>
              <w:t>not proceed with backing up until the helper or passenger is in position to</w:t>
            </w:r>
            <w:r w:rsidRPr="00BD1177">
              <w:rPr>
                <w:rFonts w:ascii="Arial" w:hAnsi="Arial" w:cs="Arial"/>
                <w:spacing w:val="-18"/>
              </w:rPr>
              <w:t xml:space="preserve"> </w:t>
            </w:r>
            <w:r w:rsidRPr="00BD1177">
              <w:rPr>
                <w:rFonts w:ascii="Arial" w:hAnsi="Arial" w:cs="Arial"/>
              </w:rPr>
              <w:t>assist.</w:t>
            </w:r>
          </w:p>
        </w:tc>
      </w:tr>
    </w:tbl>
    <w:p w:rsidR="00C01275" w:rsidRDefault="00C01275"/>
    <w:sectPr w:rsidR="00C01275">
      <w:type w:val="continuous"/>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982C62"/>
    <w:multiLevelType w:val="hybridMultilevel"/>
    <w:tmpl w:val="C1EC007E"/>
    <w:lvl w:ilvl="0" w:tplc="50D467D0">
      <w:start w:val="1"/>
      <w:numFmt w:val="upperLetter"/>
      <w:lvlText w:val="%1."/>
      <w:lvlJc w:val="left"/>
      <w:pPr>
        <w:ind w:left="384" w:hanging="274"/>
        <w:jc w:val="left"/>
      </w:pPr>
      <w:rPr>
        <w:rFonts w:ascii="Verdana" w:eastAsia="Verdana" w:hAnsi="Verdana" w:cs="Verdana" w:hint="default"/>
        <w:w w:val="99"/>
        <w:sz w:val="20"/>
        <w:szCs w:val="20"/>
        <w:lang w:val="en-US" w:eastAsia="en-US" w:bidi="en-US"/>
      </w:rPr>
    </w:lvl>
    <w:lvl w:ilvl="1" w:tplc="2E3ABCFE">
      <w:numFmt w:val="bullet"/>
      <w:lvlText w:val="•"/>
      <w:lvlJc w:val="left"/>
      <w:pPr>
        <w:ind w:left="1278" w:hanging="274"/>
      </w:pPr>
      <w:rPr>
        <w:rFonts w:hint="default"/>
        <w:lang w:val="en-US" w:eastAsia="en-US" w:bidi="en-US"/>
      </w:rPr>
    </w:lvl>
    <w:lvl w:ilvl="2" w:tplc="124C40F6">
      <w:numFmt w:val="bullet"/>
      <w:lvlText w:val="•"/>
      <w:lvlJc w:val="left"/>
      <w:pPr>
        <w:ind w:left="2176" w:hanging="274"/>
      </w:pPr>
      <w:rPr>
        <w:rFonts w:hint="default"/>
        <w:lang w:val="en-US" w:eastAsia="en-US" w:bidi="en-US"/>
      </w:rPr>
    </w:lvl>
    <w:lvl w:ilvl="3" w:tplc="673A7226">
      <w:numFmt w:val="bullet"/>
      <w:lvlText w:val="•"/>
      <w:lvlJc w:val="left"/>
      <w:pPr>
        <w:ind w:left="3074" w:hanging="274"/>
      </w:pPr>
      <w:rPr>
        <w:rFonts w:hint="default"/>
        <w:lang w:val="en-US" w:eastAsia="en-US" w:bidi="en-US"/>
      </w:rPr>
    </w:lvl>
    <w:lvl w:ilvl="4" w:tplc="B99291B8">
      <w:numFmt w:val="bullet"/>
      <w:lvlText w:val="•"/>
      <w:lvlJc w:val="left"/>
      <w:pPr>
        <w:ind w:left="3972" w:hanging="274"/>
      </w:pPr>
      <w:rPr>
        <w:rFonts w:hint="default"/>
        <w:lang w:val="en-US" w:eastAsia="en-US" w:bidi="en-US"/>
      </w:rPr>
    </w:lvl>
    <w:lvl w:ilvl="5" w:tplc="C7B4C22A">
      <w:numFmt w:val="bullet"/>
      <w:lvlText w:val="•"/>
      <w:lvlJc w:val="left"/>
      <w:pPr>
        <w:ind w:left="4870" w:hanging="274"/>
      </w:pPr>
      <w:rPr>
        <w:rFonts w:hint="default"/>
        <w:lang w:val="en-US" w:eastAsia="en-US" w:bidi="en-US"/>
      </w:rPr>
    </w:lvl>
    <w:lvl w:ilvl="6" w:tplc="6B54CD36">
      <w:numFmt w:val="bullet"/>
      <w:lvlText w:val="•"/>
      <w:lvlJc w:val="left"/>
      <w:pPr>
        <w:ind w:left="5768" w:hanging="274"/>
      </w:pPr>
      <w:rPr>
        <w:rFonts w:hint="default"/>
        <w:lang w:val="en-US" w:eastAsia="en-US" w:bidi="en-US"/>
      </w:rPr>
    </w:lvl>
    <w:lvl w:ilvl="7" w:tplc="44B4002E">
      <w:numFmt w:val="bullet"/>
      <w:lvlText w:val="•"/>
      <w:lvlJc w:val="left"/>
      <w:pPr>
        <w:ind w:left="6666" w:hanging="274"/>
      </w:pPr>
      <w:rPr>
        <w:rFonts w:hint="default"/>
        <w:lang w:val="en-US" w:eastAsia="en-US" w:bidi="en-US"/>
      </w:rPr>
    </w:lvl>
    <w:lvl w:ilvl="8" w:tplc="1FF4449C">
      <w:numFmt w:val="bullet"/>
      <w:lvlText w:val="•"/>
      <w:lvlJc w:val="left"/>
      <w:pPr>
        <w:ind w:left="7564" w:hanging="274"/>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5D37C0"/>
    <w:rsid w:val="0025753A"/>
    <w:rsid w:val="002628C2"/>
    <w:rsid w:val="005D37C0"/>
    <w:rsid w:val="006F581E"/>
    <w:rsid w:val="00BD1177"/>
    <w:rsid w:val="00C0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6917"/>
  <w15:docId w15:val="{CA1C5295-0328-4F72-A775-BCEEB2C5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bidi="en-US"/>
    </w:rPr>
  </w:style>
  <w:style w:type="paragraph" w:styleId="Heading1">
    <w:name w:val="heading 1"/>
    <w:basedOn w:val="Normal"/>
    <w:link w:val="Heading1Char"/>
    <w:uiPriority w:val="1"/>
    <w:qFormat/>
    <w:rsid w:val="00BD1177"/>
    <w:pPr>
      <w:ind w:left="26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7"/>
    </w:pPr>
  </w:style>
  <w:style w:type="character" w:customStyle="1" w:styleId="Heading1Char">
    <w:name w:val="Heading 1 Char"/>
    <w:basedOn w:val="DefaultParagraphFont"/>
    <w:link w:val="Heading1"/>
    <w:uiPriority w:val="1"/>
    <w:rsid w:val="00BD1177"/>
    <w:rPr>
      <w:rFonts w:ascii="Verdana" w:eastAsia="Verdana" w:hAnsi="Verdana" w:cs="Verdana"/>
      <w:b/>
      <w:bCs/>
      <w:sz w:val="20"/>
      <w:szCs w:val="20"/>
      <w:lang w:bidi="en-US"/>
    </w:rPr>
  </w:style>
  <w:style w:type="paragraph" w:styleId="NoSpacing">
    <w:name w:val="No Spacing"/>
    <w:uiPriority w:val="1"/>
    <w:qFormat/>
    <w:rsid w:val="002628C2"/>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131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s.scot-mitchell</dc:creator>
  <cp:lastModifiedBy>Kedanis, Deborah L.</cp:lastModifiedBy>
  <cp:revision>5</cp:revision>
  <dcterms:created xsi:type="dcterms:W3CDTF">2018-11-02T17:16:00Z</dcterms:created>
  <dcterms:modified xsi:type="dcterms:W3CDTF">2018-11-02T17:34:00Z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2011-09-06T00:00:00Z</vt:filetime>
  </property>
  <property fmtid="{D5CDD505-2E9C-101B-9397-08002B2CF9AE}" pid="3" name="Creator">
    <vt:lpwstr>Microsoft® Word 2010</vt:lpwstr>
  </property>
  <property fmtid="{D5CDD505-2E9C-101B-9397-08002B2CF9AE}" pid="4" name="LastSaved">
    <vt:filetime>2018-11-02T00:00:00Z</vt:filetime>
  </property>
</Properties>
</file>