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0794" w:rsidRDefault="007422CB" w:rsidP="0082160A">
      <w:pPr>
        <w:pStyle w:val="normal0"/>
        <w:spacing w:after="200" w:line="240" w:lineRule="auto"/>
        <w:jc w:val="center"/>
      </w:pPr>
      <w:r>
        <w:rPr>
          <w:rFonts w:ascii="Verdana" w:eastAsia="Verdana" w:hAnsi="Verdana" w:cs="Verdana"/>
          <w:b/>
          <w:sz w:val="24"/>
        </w:rPr>
        <w:t xml:space="preserve">RIGHT-T0-KNOW </w:t>
      </w:r>
      <w:r>
        <w:rPr>
          <w:rFonts w:ascii="Verdana" w:eastAsia="Verdana" w:hAnsi="Verdana" w:cs="Verdana"/>
          <w:b/>
          <w:sz w:val="24"/>
        </w:rPr>
        <w:t>EXCEPTIONS</w:t>
      </w:r>
    </w:p>
    <w:p w:rsidR="00220794" w:rsidRDefault="00220794">
      <w:pPr>
        <w:pStyle w:val="Heading3"/>
        <w:spacing w:before="280" w:after="80"/>
        <w:ind w:left="0"/>
      </w:pPr>
    </w:p>
    <w:p w:rsidR="00220794" w:rsidRDefault="007422CB">
      <w:pPr>
        <w:pStyle w:val="normal0"/>
        <w:numPr>
          <w:ilvl w:val="0"/>
          <w:numId w:val="1"/>
        </w:numPr>
        <w:ind w:hanging="359"/>
      </w:pPr>
      <w:r>
        <w:rPr>
          <w:rFonts w:ascii="Verdana" w:eastAsia="Verdana" w:hAnsi="Verdana" w:cs="Verdana"/>
          <w:b/>
          <w:sz w:val="20"/>
        </w:rPr>
        <w:t>The burden of proving that a record is exempt from public access is on the agency §708(a) except: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If the disclosure would result in the loss of state or federal funds §708(b)(1)(</w:t>
      </w:r>
      <w:proofErr w:type="spellStart"/>
      <w:r>
        <w:rPr>
          <w:rFonts w:ascii="Verdana" w:eastAsia="Verdana" w:hAnsi="Verdana" w:cs="Verdana"/>
          <w:sz w:val="20"/>
        </w:rPr>
        <w:t>i</w:t>
      </w:r>
      <w:proofErr w:type="spellEnd"/>
      <w:r>
        <w:rPr>
          <w:rFonts w:ascii="Verdana" w:eastAsia="Verdana" w:hAnsi="Verdana" w:cs="Verdana"/>
          <w:sz w:val="20"/>
        </w:rPr>
        <w:t>), or the disclosure would reasonably be likely to res</w:t>
      </w:r>
      <w:r>
        <w:rPr>
          <w:rFonts w:ascii="Verdana" w:eastAsia="Verdana" w:hAnsi="Verdana" w:cs="Verdana"/>
          <w:sz w:val="20"/>
        </w:rPr>
        <w:t xml:space="preserve">ult in substantial and </w:t>
      </w:r>
      <w:proofErr w:type="spellStart"/>
      <w:r>
        <w:rPr>
          <w:rFonts w:ascii="Verdana" w:eastAsia="Verdana" w:hAnsi="Verdana" w:cs="Verdana"/>
          <w:sz w:val="20"/>
        </w:rPr>
        <w:t>demonstra</w:t>
      </w:r>
      <w:r>
        <w:rPr>
          <w:rFonts w:ascii="Verdana" w:eastAsia="Verdana" w:hAnsi="Verdana" w:cs="Verdana"/>
          <w:sz w:val="20"/>
        </w:rPr>
        <w:t>table</w:t>
      </w:r>
      <w:proofErr w:type="spellEnd"/>
      <w:r>
        <w:rPr>
          <w:rFonts w:ascii="Verdana" w:eastAsia="Verdana" w:hAnsi="Verdana" w:cs="Verdana"/>
          <w:sz w:val="20"/>
        </w:rPr>
        <w:t xml:space="preserve"> risk of physical harm or personal security of an individual §708(b)(1)(ii)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The reco</w:t>
      </w:r>
      <w:r>
        <w:rPr>
          <w:rFonts w:ascii="Verdana" w:eastAsia="Verdana" w:hAnsi="Verdana" w:cs="Verdana"/>
          <w:sz w:val="20"/>
        </w:rPr>
        <w:t>rd places military, homeland security or public safety in jeopardy §708(b)(2)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A record, the disclosure of which creates a reasonable likelihood of endangering the safety of a public building, public utility or other infrastructure resource §708(b)(3-4)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A r</w:t>
      </w:r>
      <w:r>
        <w:rPr>
          <w:rFonts w:ascii="Verdana" w:eastAsia="Verdana" w:hAnsi="Verdana" w:cs="Verdana"/>
          <w:sz w:val="20"/>
        </w:rPr>
        <w:t>ecord of an individual's medical history or disability, worker's compensation information §708(b)(5)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A record containing all or part of a SSN, driver's number, personal financial information, home &amp; cellular telephone numbers, personal e-mail addresses, em</w:t>
      </w:r>
      <w:r>
        <w:rPr>
          <w:rFonts w:ascii="Verdana" w:eastAsia="Verdana" w:hAnsi="Verdana" w:cs="Verdana"/>
          <w:sz w:val="20"/>
        </w:rPr>
        <w:t>ployee number or other confidential ID number §708(b)(6)(</w:t>
      </w:r>
      <w:proofErr w:type="spellStart"/>
      <w:r>
        <w:rPr>
          <w:rFonts w:ascii="Verdana" w:eastAsia="Verdana" w:hAnsi="Verdana" w:cs="Verdana"/>
          <w:sz w:val="20"/>
        </w:rPr>
        <w:t>i</w:t>
      </w:r>
      <w:proofErr w:type="spellEnd"/>
      <w:r>
        <w:rPr>
          <w:rFonts w:ascii="Verdana" w:eastAsia="Verdana" w:hAnsi="Verdana" w:cs="Verdana"/>
          <w:sz w:val="20"/>
        </w:rPr>
        <w:t>)(A)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A spouses name; marital status, beneficiary or dependent information §708(b)(6)(</w:t>
      </w:r>
      <w:proofErr w:type="spellStart"/>
      <w:r>
        <w:rPr>
          <w:rFonts w:ascii="Verdana" w:eastAsia="Verdana" w:hAnsi="Verdana" w:cs="Verdana"/>
          <w:sz w:val="20"/>
        </w:rPr>
        <w:t>i</w:t>
      </w:r>
      <w:proofErr w:type="spellEnd"/>
      <w:r>
        <w:rPr>
          <w:rFonts w:ascii="Verdana" w:eastAsia="Verdana" w:hAnsi="Verdana" w:cs="Verdana"/>
          <w:sz w:val="20"/>
        </w:rPr>
        <w:t>)(B)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letter of reference for non-elective or appointed positions requiring senate confirmation §708(b)(6)(</w:t>
      </w:r>
      <w:proofErr w:type="spellStart"/>
      <w:r>
        <w:rPr>
          <w:rFonts w:ascii="Verdana" w:eastAsia="Verdana" w:hAnsi="Verdana" w:cs="Verdana"/>
          <w:sz w:val="20"/>
        </w:rPr>
        <w:t>i</w:t>
      </w:r>
      <w:proofErr w:type="spellEnd"/>
      <w:r>
        <w:rPr>
          <w:rFonts w:ascii="Verdana" w:eastAsia="Verdana" w:hAnsi="Verdana" w:cs="Verdana"/>
          <w:sz w:val="20"/>
        </w:rPr>
        <w:t>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A p</w:t>
      </w:r>
      <w:r>
        <w:rPr>
          <w:rFonts w:ascii="Verdana" w:eastAsia="Verdana" w:hAnsi="Verdana" w:cs="Verdana"/>
          <w:sz w:val="20"/>
        </w:rPr>
        <w:t>erformance rating or review §708(b)(6)(ii)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The results of civil service tests shall not be disclosed if restricted by CBA. Only test scores that of individuals who were passing may be disclosed §708(b)(6)(iii)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  <w:u w:val="single"/>
        </w:rPr>
        <w:t>§708(b)(7) RELATES TO AGENCY EMPLOYEES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</w:rPr>
        <w:t>The emp</w:t>
      </w:r>
      <w:r>
        <w:rPr>
          <w:rFonts w:ascii="Verdana" w:eastAsia="Verdana" w:hAnsi="Verdana" w:cs="Verdana"/>
          <w:b/>
          <w:sz w:val="20"/>
        </w:rPr>
        <w:t>loyment application of a person not hired by an agency §708(b)(7)(iv)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Workplace support services program information §708(b)(7)(v)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Written criticisms of an employee §708(b)(7)(vi)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Grievance Material including documents relating to discrimination and sexual</w:t>
      </w:r>
      <w:r>
        <w:rPr>
          <w:rFonts w:ascii="Verdana" w:eastAsia="Verdana" w:hAnsi="Verdana" w:cs="Verdana"/>
          <w:sz w:val="20"/>
        </w:rPr>
        <w:t xml:space="preserve"> harassment §708(b)(7)(vii)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 xml:space="preserve">Information regarding discipline, demotion or discharge contained in a personnel file. </w:t>
      </w:r>
      <w:r>
        <w:rPr>
          <w:rFonts w:ascii="Verdana" w:eastAsia="Verdana" w:hAnsi="Verdana" w:cs="Verdana"/>
          <w:sz w:val="20"/>
          <w:u w:val="single"/>
        </w:rPr>
        <w:t xml:space="preserve">This does not apply to final action by an agency </w:t>
      </w:r>
      <w:proofErr w:type="gramStart"/>
      <w:r>
        <w:rPr>
          <w:rFonts w:ascii="Verdana" w:eastAsia="Verdana" w:hAnsi="Verdana" w:cs="Verdana"/>
          <w:sz w:val="20"/>
          <w:u w:val="single"/>
        </w:rPr>
        <w:t>that results</w:t>
      </w:r>
      <w:proofErr w:type="gramEnd"/>
      <w:r>
        <w:rPr>
          <w:rFonts w:ascii="Verdana" w:eastAsia="Verdana" w:hAnsi="Verdana" w:cs="Verdana"/>
          <w:sz w:val="20"/>
          <w:u w:val="single"/>
        </w:rPr>
        <w:t xml:space="preserve"> in demotion or discharge</w:t>
      </w:r>
      <w:r>
        <w:rPr>
          <w:rFonts w:ascii="Verdana" w:eastAsia="Verdana" w:hAnsi="Verdana" w:cs="Verdana"/>
          <w:sz w:val="20"/>
        </w:rPr>
        <w:t>. §708(b)(7)(viii)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</w:rPr>
        <w:t>An academic transcript §708(b)(7)(ix</w:t>
      </w:r>
      <w:r>
        <w:rPr>
          <w:rFonts w:ascii="Verdana" w:eastAsia="Verdana" w:hAnsi="Verdana" w:cs="Verdana"/>
          <w:b/>
          <w:sz w:val="20"/>
        </w:rPr>
        <w:t>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</w:rPr>
        <w:t>Strategies and negotiations relating to labor negotiations, except final contracts §708(b)(8)(</w:t>
      </w:r>
      <w:proofErr w:type="spellStart"/>
      <w:r>
        <w:rPr>
          <w:rFonts w:ascii="Verdana" w:eastAsia="Verdana" w:hAnsi="Verdana" w:cs="Verdana"/>
          <w:b/>
          <w:sz w:val="20"/>
        </w:rPr>
        <w:t>i</w:t>
      </w:r>
      <w:proofErr w:type="spellEnd"/>
      <w:r>
        <w:rPr>
          <w:rFonts w:ascii="Verdana" w:eastAsia="Verdana" w:hAnsi="Verdana" w:cs="Verdana"/>
          <w:b/>
          <w:sz w:val="20"/>
        </w:rPr>
        <w:t>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</w:rPr>
        <w:t>Any exhibits entered into evidence at an arbitration hearing based upon a CBA grievance §708(b)(8)(ii)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lastRenderedPageBreak/>
        <w:t xml:space="preserve">Internal agency </w:t>
      </w:r>
      <w:proofErr w:type="spellStart"/>
      <w:r>
        <w:rPr>
          <w:rFonts w:ascii="Verdana" w:eastAsia="Verdana" w:hAnsi="Verdana" w:cs="Verdana"/>
          <w:sz w:val="20"/>
        </w:rPr>
        <w:t>predecisional</w:t>
      </w:r>
      <w:proofErr w:type="spellEnd"/>
      <w:r>
        <w:rPr>
          <w:rFonts w:ascii="Verdana" w:eastAsia="Verdana" w:hAnsi="Verdana" w:cs="Verdana"/>
          <w:sz w:val="20"/>
        </w:rPr>
        <w:t xml:space="preserve"> deliberations and strategies used to develop or achieve a successful budget, legislative proposal or regulation §708(b)(10)(</w:t>
      </w:r>
      <w:proofErr w:type="spellStart"/>
      <w:r>
        <w:rPr>
          <w:rFonts w:ascii="Verdana" w:eastAsia="Verdana" w:hAnsi="Verdana" w:cs="Verdana"/>
          <w:sz w:val="20"/>
        </w:rPr>
        <w:t>i</w:t>
      </w:r>
      <w:proofErr w:type="spellEnd"/>
      <w:r>
        <w:rPr>
          <w:rFonts w:ascii="Verdana" w:eastAsia="Verdana" w:hAnsi="Verdana" w:cs="Verdana"/>
          <w:sz w:val="20"/>
        </w:rPr>
        <w:t>)(A-B)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A record presented which is not otherwise exempt, but is presented to a quorum for deliberatio</w:t>
      </w:r>
      <w:r>
        <w:rPr>
          <w:rFonts w:ascii="Verdana" w:eastAsia="Verdana" w:hAnsi="Verdana" w:cs="Verdana"/>
          <w:sz w:val="20"/>
        </w:rPr>
        <w:t>n in accordance with the Open Meetings law is a public record §708(b)(10)(ii)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 xml:space="preserve">This shall not apply to a written or internet </w:t>
      </w:r>
      <w:r w:rsidR="0082160A">
        <w:rPr>
          <w:rFonts w:ascii="Verdana" w:eastAsia="Verdana" w:hAnsi="Verdana" w:cs="Verdana"/>
          <w:sz w:val="20"/>
        </w:rPr>
        <w:t>application</w:t>
      </w:r>
      <w:r>
        <w:rPr>
          <w:rFonts w:ascii="Verdana" w:eastAsia="Verdana" w:hAnsi="Verdana" w:cs="Verdana"/>
          <w:sz w:val="20"/>
        </w:rPr>
        <w:t xml:space="preserve"> or other document requesting commonwealth funds §708(b)(10)(iii)(Grant Requests)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 xml:space="preserve">This section does not apply to public </w:t>
      </w:r>
      <w:r>
        <w:rPr>
          <w:rFonts w:ascii="Verdana" w:eastAsia="Verdana" w:hAnsi="Verdana" w:cs="Verdana"/>
          <w:sz w:val="20"/>
        </w:rPr>
        <w:t>opinion surveys or other such research designed to measure public opinion §708(b)(10)(iv)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</w:rPr>
        <w:t>Trade Secrets or Confidential Proprietary Information. §708(b)(11)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</w:rPr>
        <w:t>Working papers or notes prepared by or for an agency employee for that person's own personal use, i</w:t>
      </w:r>
      <w:r>
        <w:rPr>
          <w:rFonts w:ascii="Verdana" w:eastAsia="Verdana" w:hAnsi="Verdana" w:cs="Verdana"/>
          <w:b/>
          <w:sz w:val="20"/>
        </w:rPr>
        <w:t>ncluding message slips, routing slips, and other materials that do not have an official purpose. §708(b)(12)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</w:rPr>
        <w:t>Records that would disclose the identity of an individual who lawfully makes a donation is to providing remuneration or personal tangible benefit t</w:t>
      </w:r>
      <w:r>
        <w:rPr>
          <w:rFonts w:ascii="Verdana" w:eastAsia="Verdana" w:hAnsi="Verdana" w:cs="Verdana"/>
          <w:b/>
          <w:sz w:val="20"/>
        </w:rPr>
        <w:t xml:space="preserve">o a named public official or employee, this includes lists of potential donors and their personally </w:t>
      </w:r>
      <w:proofErr w:type="spellStart"/>
      <w:r>
        <w:rPr>
          <w:rFonts w:ascii="Verdana" w:eastAsia="Verdana" w:hAnsi="Verdana" w:cs="Verdana"/>
          <w:b/>
          <w:sz w:val="20"/>
        </w:rPr>
        <w:t>indentifiable</w:t>
      </w:r>
      <w:proofErr w:type="spellEnd"/>
      <w:r>
        <w:rPr>
          <w:rFonts w:ascii="Verdana" w:eastAsia="Verdana" w:hAnsi="Verdana" w:cs="Verdana"/>
          <w:b/>
          <w:sz w:val="20"/>
        </w:rPr>
        <w:t xml:space="preserve"> information. §708(b)(13)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</w:rPr>
        <w:t>Unpublished lecture notes, manuscripts, articles, creative works in-progress, research material and scholarly corresp</w:t>
      </w:r>
      <w:r>
        <w:rPr>
          <w:rFonts w:ascii="Verdana" w:eastAsia="Verdana" w:hAnsi="Verdana" w:cs="Verdana"/>
          <w:b/>
          <w:sz w:val="20"/>
        </w:rPr>
        <w:t>ondence of a community college or a PASSHE institution of faculty member, staff, guest speaker, or student. §708(b)(14)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</w:rPr>
        <w:t>Academic transcripts §708(b)(15)(</w:t>
      </w:r>
      <w:proofErr w:type="spellStart"/>
      <w:r>
        <w:rPr>
          <w:rFonts w:ascii="Verdana" w:eastAsia="Verdana" w:hAnsi="Verdana" w:cs="Verdana"/>
          <w:b/>
          <w:sz w:val="20"/>
        </w:rPr>
        <w:t>i</w:t>
      </w:r>
      <w:proofErr w:type="spellEnd"/>
      <w:r>
        <w:rPr>
          <w:rFonts w:ascii="Verdana" w:eastAsia="Verdana" w:hAnsi="Verdana" w:cs="Verdana"/>
          <w:b/>
          <w:sz w:val="20"/>
        </w:rPr>
        <w:t>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</w:rPr>
        <w:t>Examinations, examination questions, scoring keys or answers. This shall also include licensing and other examinations given in primary, secondary, and higher education. §708(b)(15)(ii)</w:t>
      </w:r>
    </w:p>
    <w:p w:rsidR="00220794" w:rsidRDefault="007422CB" w:rsidP="0082160A">
      <w:pPr>
        <w:pStyle w:val="normal0"/>
        <w:numPr>
          <w:ilvl w:val="0"/>
          <w:numId w:val="2"/>
        </w:numPr>
      </w:pPr>
      <w:proofErr w:type="gramStart"/>
      <w:r>
        <w:rPr>
          <w:rFonts w:ascii="Verdana" w:eastAsia="Verdana" w:hAnsi="Verdana" w:cs="Verdana"/>
          <w:b/>
          <w:sz w:val="20"/>
        </w:rPr>
        <w:t>Police investigatory records, blotter information is</w:t>
      </w:r>
      <w:proofErr w:type="gramEnd"/>
      <w:r>
        <w:rPr>
          <w:rFonts w:ascii="Verdana" w:eastAsia="Verdana" w:hAnsi="Verdana" w:cs="Verdana"/>
          <w:b/>
          <w:sz w:val="20"/>
        </w:rPr>
        <w:t xml:space="preserve"> still public reco</w:t>
      </w:r>
      <w:r>
        <w:rPr>
          <w:rFonts w:ascii="Verdana" w:eastAsia="Verdana" w:hAnsi="Verdana" w:cs="Verdana"/>
          <w:b/>
          <w:sz w:val="20"/>
        </w:rPr>
        <w:t>rd. §708(b)(16)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</w:rPr>
        <w:t>An agency investigation does not include fine or civil penalty §708(b)(17)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911 calls and radio transmissions unless the public interest outweighs the interest of non-disclosure §708(b)(18)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DNA &amp; RNA records §708(b)(19)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Drafts minutes of any</w:t>
      </w:r>
      <w:r>
        <w:rPr>
          <w:rFonts w:ascii="Verdana" w:eastAsia="Verdana" w:hAnsi="Verdana" w:cs="Verdana"/>
          <w:sz w:val="20"/>
        </w:rPr>
        <w:t xml:space="preserve"> agency meeting until the next regularly scheduled meeting is held §708(b)(21) minutes of an executive session §708(b)(21)(ii)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The contents of real estate appraisals made for acquiring an interest in real property, purchase of public supplies, and construc</w:t>
      </w:r>
      <w:r>
        <w:rPr>
          <w:rFonts w:ascii="Verdana" w:eastAsia="Verdana" w:hAnsi="Verdana" w:cs="Verdana"/>
          <w:sz w:val="20"/>
        </w:rPr>
        <w:t>tion projects, until a decision is made, then the information becomes public §708(b)(22)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Library and archive circulation and order records of an identifiable individual or group §708(b)(23)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Library archived and museum materials, or valuable or rare book co</w:t>
      </w:r>
      <w:r>
        <w:rPr>
          <w:rFonts w:ascii="Verdana" w:eastAsia="Verdana" w:hAnsi="Verdana" w:cs="Verdana"/>
          <w:sz w:val="20"/>
        </w:rPr>
        <w:t xml:space="preserve">llections or documents contributed by gift, grant, bequest or devise, to </w:t>
      </w:r>
      <w:r>
        <w:rPr>
          <w:rFonts w:ascii="Verdana" w:eastAsia="Verdana" w:hAnsi="Verdana" w:cs="Verdana"/>
          <w:sz w:val="20"/>
        </w:rPr>
        <w:lastRenderedPageBreak/>
        <w:t>the extent of any limitations imposed by the donor as a condition of the contribution. §708(b)(24)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A record of an archeological site or endangered plant or animal if not already known</w:t>
      </w:r>
      <w:r>
        <w:rPr>
          <w:rFonts w:ascii="Verdana" w:eastAsia="Verdana" w:hAnsi="Verdana" w:cs="Verdana"/>
          <w:sz w:val="20"/>
        </w:rPr>
        <w:t xml:space="preserve"> by the general public §708(b)(25)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 xml:space="preserve">A proposal pertaining to agency procurement or disposal of supplies, services or construction prior to the award of the contract or prior to the opening and rejection of all bids; financial information of a bidder or </w:t>
      </w:r>
      <w:proofErr w:type="spellStart"/>
      <w:r>
        <w:rPr>
          <w:rFonts w:ascii="Verdana" w:eastAsia="Verdana" w:hAnsi="Verdana" w:cs="Verdana"/>
          <w:sz w:val="20"/>
        </w:rPr>
        <w:t>offe</w:t>
      </w:r>
      <w:r>
        <w:rPr>
          <w:rFonts w:ascii="Verdana" w:eastAsia="Verdana" w:hAnsi="Verdana" w:cs="Verdana"/>
          <w:sz w:val="20"/>
        </w:rPr>
        <w:t>ror</w:t>
      </w:r>
      <w:proofErr w:type="spellEnd"/>
      <w:r>
        <w:rPr>
          <w:rFonts w:ascii="Verdana" w:eastAsia="Verdana" w:hAnsi="Verdana" w:cs="Verdana"/>
          <w:sz w:val="20"/>
        </w:rPr>
        <w:t xml:space="preserve"> requested in an invitation for bid or request for proposals to demonstrate the bidder's or </w:t>
      </w:r>
      <w:proofErr w:type="spellStart"/>
      <w:r>
        <w:rPr>
          <w:rFonts w:ascii="Verdana" w:eastAsia="Verdana" w:hAnsi="Verdana" w:cs="Verdana"/>
          <w:sz w:val="20"/>
        </w:rPr>
        <w:t>offeror's</w:t>
      </w:r>
      <w:proofErr w:type="spellEnd"/>
      <w:r>
        <w:rPr>
          <w:rFonts w:ascii="Verdana" w:eastAsia="Verdana" w:hAnsi="Verdana" w:cs="Verdana"/>
          <w:sz w:val="20"/>
        </w:rPr>
        <w:t xml:space="preserve"> economic capability; or the identity of members, notes and other records of an agency proposal evaluation committees established under the Procurement </w:t>
      </w:r>
      <w:r>
        <w:rPr>
          <w:rFonts w:ascii="Verdana" w:eastAsia="Verdana" w:hAnsi="Verdana" w:cs="Verdana"/>
          <w:sz w:val="20"/>
        </w:rPr>
        <w:t>Code §708(b)(26)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Communication between an agency and its insurance carrier. This does not apply to the actual contract §708(b)(27)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Information identifying an individual who applies for or receives social services §708(b)(28)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Correspondence between a person</w:t>
      </w:r>
      <w:r>
        <w:rPr>
          <w:rFonts w:ascii="Verdana" w:eastAsia="Verdana" w:hAnsi="Verdana" w:cs="Verdana"/>
          <w:sz w:val="20"/>
        </w:rPr>
        <w:t xml:space="preserve"> and a member of the General Assembly that request some form of constituent services. This does not apply to correspondence from lobbyists §708(b)(29)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sz w:val="20"/>
        </w:rPr>
        <w:t>A record identifying that name, address, or date of birth of a child 17 years of age or younger §708(b)(3</w:t>
      </w:r>
      <w:r>
        <w:rPr>
          <w:rFonts w:ascii="Verdana" w:eastAsia="Verdana" w:hAnsi="Verdana" w:cs="Verdana"/>
          <w:sz w:val="20"/>
        </w:rPr>
        <w:t>0)</w:t>
      </w:r>
    </w:p>
    <w:p w:rsidR="00220794" w:rsidRDefault="007422CB" w:rsidP="0082160A">
      <w:pPr>
        <w:pStyle w:val="normal0"/>
        <w:numPr>
          <w:ilvl w:val="0"/>
          <w:numId w:val="2"/>
        </w:numPr>
      </w:pPr>
      <w:r>
        <w:rPr>
          <w:rFonts w:ascii="Verdana" w:eastAsia="Verdana" w:hAnsi="Verdana" w:cs="Verdana"/>
          <w:b/>
          <w:sz w:val="20"/>
        </w:rPr>
        <w:t>Financial records - The exception in subsection (b) shall not apply to financial records except that an agency may redact that portion of a financial record that is protected under (B)(1)(2)(3)(4)(5)(6)(16)or(17)</w:t>
      </w:r>
    </w:p>
    <w:p w:rsidR="00220794" w:rsidRDefault="00220794">
      <w:pPr>
        <w:pStyle w:val="normal0"/>
      </w:pPr>
    </w:p>
    <w:sectPr w:rsidR="00220794" w:rsidSect="00220794">
      <w:headerReference w:type="default" r:id="rId7"/>
      <w:footerReference w:type="default" r:id="rId8"/>
      <w:pgSz w:w="12240" w:h="15840"/>
      <w:pgMar w:top="776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2CB" w:rsidRDefault="007422CB" w:rsidP="00220794">
      <w:pPr>
        <w:spacing w:after="0" w:line="240" w:lineRule="auto"/>
      </w:pPr>
      <w:r>
        <w:separator/>
      </w:r>
    </w:p>
  </w:endnote>
  <w:endnote w:type="continuationSeparator" w:id="0">
    <w:p w:rsidR="007422CB" w:rsidRDefault="007422CB" w:rsidP="0022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94" w:rsidRDefault="00220794">
    <w:pPr>
      <w:pStyle w:val="normal0"/>
      <w:spacing w:after="20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2CB" w:rsidRDefault="007422CB" w:rsidP="00220794">
      <w:pPr>
        <w:spacing w:after="0" w:line="240" w:lineRule="auto"/>
      </w:pPr>
      <w:r>
        <w:separator/>
      </w:r>
    </w:p>
  </w:footnote>
  <w:footnote w:type="continuationSeparator" w:id="0">
    <w:p w:rsidR="007422CB" w:rsidRDefault="007422CB" w:rsidP="00220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794" w:rsidRDefault="0082160A">
    <w:pPr>
      <w:pStyle w:val="normal0"/>
      <w:tabs>
        <w:tab w:val="center" w:pos="4680"/>
        <w:tab w:val="right" w:pos="9360"/>
      </w:tabs>
      <w:spacing w:line="240" w:lineRule="auto"/>
    </w:pPr>
    <w:r>
      <w:rPr>
        <w:rFonts w:ascii="Verdana" w:eastAsia="Verdana" w:hAnsi="Verdana" w:cs="Verdana"/>
        <w:sz w:val="20"/>
      </w:rPr>
      <w:t>Right-to-Know Exceptions</w:t>
    </w:r>
    <w:r w:rsidR="007422CB">
      <w:rPr>
        <w:rFonts w:ascii="Calibri" w:eastAsia="Calibri" w:hAnsi="Calibri" w:cs="Calibri"/>
      </w:rPr>
      <w:t xml:space="preserve"> </w:t>
    </w:r>
    <w:r w:rsidR="007422CB">
      <w:rPr>
        <w:rFonts w:ascii="Calibri" w:eastAsia="Calibri" w:hAnsi="Calibri" w:cs="Calibri"/>
      </w:rPr>
      <w:tab/>
    </w:r>
    <w:r w:rsidR="007422CB">
      <w:rPr>
        <w:rFonts w:ascii="Calibri" w:eastAsia="Calibri" w:hAnsi="Calibri" w:cs="Calibri"/>
      </w:rPr>
      <w:tab/>
    </w:r>
    <w:r w:rsidR="007422CB">
      <w:rPr>
        <w:rFonts w:ascii="Verdana" w:eastAsia="Verdana" w:hAnsi="Verdana" w:cs="Verdana"/>
        <w:sz w:val="20"/>
      </w:rPr>
      <w:t xml:space="preserve">Page </w:t>
    </w:r>
    <w:fldSimple w:instr="PAGE">
      <w:r>
        <w:rPr>
          <w:noProof/>
        </w:rPr>
        <w:t>1</w:t>
      </w:r>
    </w:fldSimple>
  </w:p>
  <w:p w:rsidR="00220794" w:rsidRDefault="00220794">
    <w:pPr>
      <w:pStyle w:val="normal0"/>
      <w:tabs>
        <w:tab w:val="center" w:pos="4680"/>
        <w:tab w:val="right" w:pos="9360"/>
      </w:tabs>
      <w:spacing w:line="240" w:lineRule="auto"/>
    </w:pPr>
  </w:p>
  <w:p w:rsidR="00220794" w:rsidRDefault="00220794">
    <w:pPr>
      <w:pStyle w:val="normal0"/>
      <w:tabs>
        <w:tab w:val="left" w:pos="9270"/>
      </w:tabs>
      <w:spacing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71C09"/>
    <w:multiLevelType w:val="multilevel"/>
    <w:tmpl w:val="46B05FD6"/>
    <w:lvl w:ilvl="0">
      <w:start w:val="1"/>
      <w:numFmt w:val="decimal"/>
      <w:lvlText w:val="%1"/>
      <w:lvlJc w:val="left"/>
      <w:pPr>
        <w:ind w:left="72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18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2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39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46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1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">
    <w:nsid w:val="27F93672"/>
    <w:multiLevelType w:val="hybridMultilevel"/>
    <w:tmpl w:val="F60266CA"/>
    <w:lvl w:ilvl="0" w:tplc="04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0794"/>
    <w:rsid w:val="00220794"/>
    <w:rsid w:val="007422CB"/>
    <w:rsid w:val="00821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220794"/>
    <w:pPr>
      <w:spacing w:before="480" w:line="240" w:lineRule="auto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0"/>
    <w:next w:val="normal0"/>
    <w:rsid w:val="00220794"/>
    <w:pPr>
      <w:spacing w:before="200" w:line="240" w:lineRule="auto"/>
      <w:ind w:left="720"/>
      <w:outlineLvl w:val="1"/>
    </w:pPr>
    <w:rPr>
      <w:rFonts w:ascii="Cambria" w:eastAsia="Cambria" w:hAnsi="Cambria" w:cs="Cambria"/>
      <w:b/>
      <w:color w:val="4F81BD"/>
      <w:sz w:val="26"/>
    </w:rPr>
  </w:style>
  <w:style w:type="paragraph" w:styleId="Heading3">
    <w:name w:val="heading 3"/>
    <w:basedOn w:val="normal0"/>
    <w:next w:val="normal0"/>
    <w:rsid w:val="00220794"/>
    <w:pPr>
      <w:spacing w:before="200" w:line="240" w:lineRule="auto"/>
      <w:ind w:left="144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0"/>
    <w:next w:val="normal0"/>
    <w:rsid w:val="00220794"/>
    <w:pPr>
      <w:spacing w:before="200" w:line="240" w:lineRule="auto"/>
      <w:ind w:left="216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0"/>
    <w:next w:val="normal0"/>
    <w:rsid w:val="00220794"/>
    <w:pPr>
      <w:spacing w:before="200" w:line="240" w:lineRule="auto"/>
      <w:ind w:left="2880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0"/>
    <w:next w:val="normal0"/>
    <w:rsid w:val="00220794"/>
    <w:pPr>
      <w:spacing w:before="200" w:line="240" w:lineRule="auto"/>
      <w:ind w:left="3600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20794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220794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rsid w:val="00220794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6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2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160A"/>
  </w:style>
  <w:style w:type="paragraph" w:styleId="Footer">
    <w:name w:val="footer"/>
    <w:basedOn w:val="Normal"/>
    <w:link w:val="FooterChar"/>
    <w:uiPriority w:val="99"/>
    <w:semiHidden/>
    <w:unhideWhenUsed/>
    <w:rsid w:val="0082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160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A8D8463E72D4D91F939ACC29F9162" ma:contentTypeVersion="2" ma:contentTypeDescription="Create a new document." ma:contentTypeScope="" ma:versionID="c71e5ac6cd6b66dad4fe423c4ac502a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d6899da65ec97ea3a3b11f395c874b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D31A6A9-E52F-48CB-A567-FD4DF13DD465}"/>
</file>

<file path=customXml/itemProps2.xml><?xml version="1.0" encoding="utf-8"?>
<ds:datastoreItem xmlns:ds="http://schemas.openxmlformats.org/officeDocument/2006/customXml" ds:itemID="{5995D950-122A-4CD5-A27C-3542296E2266}"/>
</file>

<file path=customXml/itemProps3.xml><?xml version="1.0" encoding="utf-8"?>
<ds:datastoreItem xmlns:ds="http://schemas.openxmlformats.org/officeDocument/2006/customXml" ds:itemID="{297B6090-56AD-4E36-815C-D3809A88C7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906</Words>
  <Characters>5168</Characters>
  <Application>Microsoft Office Word</Application>
  <DocSecurity>0</DocSecurity>
  <Lines>43</Lines>
  <Paragraphs>12</Paragraphs>
  <ScaleCrop>false</ScaleCrop>
  <Company> 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Right-to-know Exceptions.docx</dc:title>
  <cp:lastModifiedBy>profile</cp:lastModifiedBy>
  <cp:revision>2</cp:revision>
  <dcterms:created xsi:type="dcterms:W3CDTF">2013-04-03T17:31:00Z</dcterms:created>
  <dcterms:modified xsi:type="dcterms:W3CDTF">2013-04-03T17:36:00Z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0x010100721A8D8463E72D4D91F939ACC29F9162</vt:lpwstr>
  </property>
</Properties>
</file>