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1D2F" w:rsidRDefault="008A6841" w:rsidP="00BA3E34">
      <w:pPr>
        <w:pStyle w:val="normal0"/>
        <w:spacing w:after="200" w:line="240" w:lineRule="auto"/>
        <w:jc w:val="center"/>
      </w:pPr>
      <w:r>
        <w:rPr>
          <w:rFonts w:ascii="Verdana" w:eastAsia="Verdana" w:hAnsi="Verdana" w:cs="Verdana"/>
          <w:b/>
          <w:sz w:val="24"/>
        </w:rPr>
        <w:t xml:space="preserve">RIGHT-T0-KNOW </w:t>
      </w:r>
      <w:r>
        <w:rPr>
          <w:rFonts w:ascii="Verdana" w:eastAsia="Verdana" w:hAnsi="Verdana" w:cs="Verdana"/>
          <w:b/>
          <w:sz w:val="24"/>
        </w:rPr>
        <w:t>UPDATE</w:t>
      </w:r>
    </w:p>
    <w:p w:rsidR="00531D2F" w:rsidRDefault="00531D2F">
      <w:pPr>
        <w:pStyle w:val="normal0"/>
        <w:spacing w:after="200" w:line="240" w:lineRule="auto"/>
        <w:jc w:val="center"/>
      </w:pPr>
    </w:p>
    <w:p w:rsidR="00531D2F" w:rsidRDefault="008A6841" w:rsidP="00BA3E34">
      <w:pPr>
        <w:pStyle w:val="normal0"/>
        <w:numPr>
          <w:ilvl w:val="0"/>
          <w:numId w:val="2"/>
        </w:numPr>
      </w:pPr>
      <w:r>
        <w:rPr>
          <w:rFonts w:ascii="Verdana" w:eastAsia="Verdana" w:hAnsi="Verdana" w:cs="Verdana"/>
          <w:sz w:val="20"/>
        </w:rPr>
        <w:t>WHAT'S CHANGED</w:t>
      </w:r>
    </w:p>
    <w:p w:rsidR="00531D2F" w:rsidRDefault="008A6841" w:rsidP="00BA3E34">
      <w:pPr>
        <w:pStyle w:val="normal0"/>
        <w:numPr>
          <w:ilvl w:val="1"/>
          <w:numId w:val="2"/>
        </w:numPr>
      </w:pPr>
      <w:r>
        <w:rPr>
          <w:rFonts w:ascii="Verdana" w:eastAsia="Verdana" w:hAnsi="Verdana" w:cs="Verdana"/>
          <w:sz w:val="20"/>
        </w:rPr>
        <w:t>Definition of Public Record</w:t>
      </w:r>
    </w:p>
    <w:p w:rsidR="00531D2F" w:rsidRDefault="008A6841" w:rsidP="00BA3E34">
      <w:pPr>
        <w:pStyle w:val="normal0"/>
        <w:numPr>
          <w:ilvl w:val="1"/>
          <w:numId w:val="2"/>
        </w:numPr>
      </w:pPr>
      <w:r>
        <w:rPr>
          <w:rFonts w:ascii="Verdana" w:eastAsia="Verdana" w:hAnsi="Verdana" w:cs="Verdana"/>
          <w:sz w:val="20"/>
        </w:rPr>
        <w:t>Burden of proof/Presumption record is public</w:t>
      </w:r>
    </w:p>
    <w:p w:rsidR="00531D2F" w:rsidRDefault="008A6841" w:rsidP="00BA3E34">
      <w:pPr>
        <w:pStyle w:val="normal0"/>
        <w:numPr>
          <w:ilvl w:val="1"/>
          <w:numId w:val="2"/>
        </w:numPr>
      </w:pPr>
      <w:r>
        <w:rPr>
          <w:rFonts w:ascii="Verdana" w:eastAsia="Verdana" w:hAnsi="Verdana" w:cs="Verdana"/>
          <w:sz w:val="20"/>
        </w:rPr>
        <w:t>Time to respond</w:t>
      </w:r>
    </w:p>
    <w:p w:rsidR="00531D2F" w:rsidRDefault="008A6841" w:rsidP="00BA3E34">
      <w:pPr>
        <w:pStyle w:val="normal0"/>
        <w:numPr>
          <w:ilvl w:val="1"/>
          <w:numId w:val="2"/>
        </w:numPr>
      </w:pPr>
      <w:r>
        <w:rPr>
          <w:rFonts w:ascii="Verdana" w:eastAsia="Verdana" w:hAnsi="Verdana" w:cs="Verdana"/>
          <w:sz w:val="20"/>
        </w:rPr>
        <w:t>No local appeals</w:t>
      </w:r>
    </w:p>
    <w:p w:rsidR="00531D2F" w:rsidRDefault="008A6841" w:rsidP="00BA3E34">
      <w:pPr>
        <w:pStyle w:val="normal0"/>
        <w:numPr>
          <w:ilvl w:val="1"/>
          <w:numId w:val="2"/>
        </w:numPr>
      </w:pPr>
      <w:r>
        <w:rPr>
          <w:rFonts w:ascii="Verdana" w:eastAsia="Verdana" w:hAnsi="Verdana" w:cs="Verdana"/>
          <w:sz w:val="20"/>
        </w:rPr>
        <w:t>New Open Records Officer/Office</w:t>
      </w:r>
    </w:p>
    <w:p w:rsidR="00531D2F" w:rsidRDefault="008A6841" w:rsidP="00BA3E34">
      <w:pPr>
        <w:pStyle w:val="normal0"/>
        <w:numPr>
          <w:ilvl w:val="0"/>
          <w:numId w:val="2"/>
        </w:numPr>
      </w:pPr>
      <w:r>
        <w:rPr>
          <w:rFonts w:ascii="Verdana" w:eastAsia="Verdana" w:hAnsi="Verdana" w:cs="Verdana"/>
          <w:sz w:val="20"/>
        </w:rPr>
        <w:t>What is a Record?</w:t>
      </w:r>
    </w:p>
    <w:p w:rsidR="00531D2F" w:rsidRDefault="008A6841" w:rsidP="00BA3E34">
      <w:pPr>
        <w:pStyle w:val="normal0"/>
        <w:numPr>
          <w:ilvl w:val="1"/>
          <w:numId w:val="2"/>
        </w:numPr>
      </w:pPr>
      <w:r>
        <w:rPr>
          <w:rFonts w:ascii="Verdana" w:eastAsia="Verdana" w:hAnsi="Verdana" w:cs="Verdana"/>
          <w:i/>
          <w:sz w:val="20"/>
        </w:rPr>
        <w:t>Old Version:</w:t>
      </w:r>
    </w:p>
    <w:p w:rsidR="00531D2F" w:rsidRDefault="008A6841" w:rsidP="00BA3E34">
      <w:pPr>
        <w:pStyle w:val="normal0"/>
        <w:numPr>
          <w:ilvl w:val="2"/>
          <w:numId w:val="2"/>
        </w:numPr>
      </w:pPr>
      <w:r>
        <w:rPr>
          <w:rFonts w:ascii="Verdana" w:eastAsia="Verdana" w:hAnsi="Verdana" w:cs="Verdana"/>
          <w:i/>
          <w:sz w:val="20"/>
        </w:rPr>
        <w:t>Any document maintained by an agency, in any form, whether public or not.</w:t>
      </w:r>
    </w:p>
    <w:p w:rsidR="00531D2F" w:rsidRDefault="008A6841" w:rsidP="00BA3E34">
      <w:pPr>
        <w:pStyle w:val="normal0"/>
        <w:numPr>
          <w:ilvl w:val="1"/>
          <w:numId w:val="2"/>
        </w:numPr>
      </w:pPr>
      <w:r>
        <w:rPr>
          <w:rFonts w:ascii="Verdana" w:eastAsia="Verdana" w:hAnsi="Verdana" w:cs="Verdana"/>
          <w:sz w:val="20"/>
        </w:rPr>
        <w:t>New Version:</w:t>
      </w:r>
    </w:p>
    <w:p w:rsidR="00531D2F" w:rsidRDefault="008A6841" w:rsidP="00BA3E34">
      <w:pPr>
        <w:pStyle w:val="normal0"/>
        <w:numPr>
          <w:ilvl w:val="2"/>
          <w:numId w:val="2"/>
        </w:numPr>
      </w:pPr>
      <w:r>
        <w:rPr>
          <w:rFonts w:ascii="Verdana" w:eastAsia="Verdana" w:hAnsi="Verdana" w:cs="Verdana"/>
          <w:sz w:val="20"/>
        </w:rPr>
        <w:t>Information, regardless of physical form or characteristics, that document a transaction or activity of an agency and that is created, received or retained pursuant to l</w:t>
      </w:r>
      <w:r>
        <w:rPr>
          <w:rFonts w:ascii="Verdana" w:eastAsia="Verdana" w:hAnsi="Verdana" w:cs="Verdana"/>
          <w:sz w:val="20"/>
        </w:rPr>
        <w:t>aw or in connection with a transaction, business or activity of the agency. The term includes a document, paper, letter, map, book, tape, photograph, film or sound recording, information stored or maintained electronically and a data-processed or image-pro</w:t>
      </w:r>
      <w:r>
        <w:rPr>
          <w:rFonts w:ascii="Verdana" w:eastAsia="Verdana" w:hAnsi="Verdana" w:cs="Verdana"/>
          <w:sz w:val="20"/>
        </w:rPr>
        <w:t>cessed document.</w:t>
      </w:r>
    </w:p>
    <w:p w:rsidR="00531D2F" w:rsidRDefault="008A6841" w:rsidP="00BA3E34">
      <w:pPr>
        <w:pStyle w:val="normal0"/>
        <w:numPr>
          <w:ilvl w:val="0"/>
          <w:numId w:val="2"/>
        </w:numPr>
      </w:pPr>
      <w:r>
        <w:rPr>
          <w:rFonts w:ascii="Verdana" w:eastAsia="Verdana" w:hAnsi="Verdana" w:cs="Verdana"/>
          <w:sz w:val="20"/>
        </w:rPr>
        <w:t>Financial Record</w:t>
      </w:r>
    </w:p>
    <w:p w:rsidR="00531D2F" w:rsidRDefault="008A6841" w:rsidP="00BA3E34">
      <w:pPr>
        <w:pStyle w:val="normal0"/>
        <w:numPr>
          <w:ilvl w:val="1"/>
          <w:numId w:val="2"/>
        </w:numPr>
      </w:pPr>
      <w:r>
        <w:rPr>
          <w:rFonts w:ascii="Verdana" w:eastAsia="Verdana" w:hAnsi="Verdana" w:cs="Verdana"/>
          <w:sz w:val="20"/>
        </w:rPr>
        <w:t>Old Version:</w:t>
      </w:r>
    </w:p>
    <w:p w:rsidR="00531D2F" w:rsidRDefault="008A6841" w:rsidP="00BA3E34">
      <w:pPr>
        <w:pStyle w:val="normal0"/>
        <w:numPr>
          <w:ilvl w:val="2"/>
          <w:numId w:val="2"/>
        </w:numPr>
      </w:pPr>
      <w:r>
        <w:rPr>
          <w:rFonts w:ascii="Verdana" w:eastAsia="Verdana" w:hAnsi="Verdana" w:cs="Verdana"/>
          <w:sz w:val="20"/>
        </w:rPr>
        <w:t>Not defined</w:t>
      </w:r>
    </w:p>
    <w:p w:rsidR="00531D2F" w:rsidRDefault="008A6841" w:rsidP="00BA3E34">
      <w:pPr>
        <w:pStyle w:val="normal0"/>
        <w:numPr>
          <w:ilvl w:val="1"/>
          <w:numId w:val="2"/>
        </w:numPr>
      </w:pPr>
      <w:r>
        <w:rPr>
          <w:rFonts w:ascii="Verdana" w:eastAsia="Verdana" w:hAnsi="Verdana" w:cs="Verdana"/>
          <w:sz w:val="20"/>
        </w:rPr>
        <w:t>New Version:</w:t>
      </w:r>
    </w:p>
    <w:p w:rsidR="00531D2F" w:rsidRDefault="008A6841" w:rsidP="00BA3E34">
      <w:pPr>
        <w:pStyle w:val="normal0"/>
        <w:numPr>
          <w:ilvl w:val="2"/>
          <w:numId w:val="2"/>
        </w:numPr>
      </w:pPr>
      <w:r>
        <w:rPr>
          <w:rFonts w:ascii="Verdana" w:eastAsia="Verdana" w:hAnsi="Verdana" w:cs="Verdana"/>
          <w:sz w:val="20"/>
        </w:rPr>
        <w:t>Any account, voucher or contract dealing with:</w:t>
      </w:r>
    </w:p>
    <w:p w:rsidR="00531D2F" w:rsidRDefault="008A6841" w:rsidP="00BA3E34">
      <w:pPr>
        <w:pStyle w:val="normal0"/>
        <w:numPr>
          <w:ilvl w:val="2"/>
          <w:numId w:val="2"/>
        </w:numPr>
      </w:pPr>
      <w:r>
        <w:rPr>
          <w:rFonts w:ascii="Verdana" w:eastAsia="Verdana" w:hAnsi="Verdana" w:cs="Verdana"/>
          <w:sz w:val="20"/>
        </w:rPr>
        <w:t>The receipt or disbursement of funds by an agency; or</w:t>
      </w:r>
    </w:p>
    <w:p w:rsidR="00531D2F" w:rsidRDefault="008A6841" w:rsidP="00BA3E34">
      <w:pPr>
        <w:pStyle w:val="normal0"/>
        <w:numPr>
          <w:ilvl w:val="2"/>
          <w:numId w:val="2"/>
        </w:numPr>
      </w:pPr>
      <w:r>
        <w:rPr>
          <w:rFonts w:ascii="Verdana" w:eastAsia="Verdana" w:hAnsi="Verdana" w:cs="Verdana"/>
          <w:sz w:val="20"/>
        </w:rPr>
        <w:t>An agency's acquisition, use or disposal of services, supplies, materials, equipmen</w:t>
      </w:r>
      <w:r>
        <w:rPr>
          <w:rFonts w:ascii="Verdana" w:eastAsia="Verdana" w:hAnsi="Verdana" w:cs="Verdana"/>
          <w:sz w:val="20"/>
        </w:rPr>
        <w:t>t or property.</w:t>
      </w:r>
    </w:p>
    <w:p w:rsidR="00531D2F" w:rsidRDefault="008A6841" w:rsidP="00BA3E34">
      <w:pPr>
        <w:pStyle w:val="normal0"/>
        <w:numPr>
          <w:ilvl w:val="2"/>
          <w:numId w:val="2"/>
        </w:numPr>
      </w:pPr>
      <w:r>
        <w:rPr>
          <w:rFonts w:ascii="Verdana" w:eastAsia="Verdana" w:hAnsi="Verdana" w:cs="Verdana"/>
          <w:sz w:val="20"/>
        </w:rPr>
        <w:t>The salary or other payments or expenses paid to an officer or employee of an agency, including the name and title of the officer or employee.</w:t>
      </w:r>
    </w:p>
    <w:p w:rsidR="00531D2F" w:rsidRDefault="008A6841" w:rsidP="00BA3E34">
      <w:pPr>
        <w:pStyle w:val="normal0"/>
        <w:numPr>
          <w:ilvl w:val="2"/>
          <w:numId w:val="2"/>
        </w:numPr>
      </w:pPr>
      <w:r>
        <w:rPr>
          <w:rFonts w:ascii="Verdana" w:eastAsia="Verdana" w:hAnsi="Verdana" w:cs="Verdana"/>
          <w:sz w:val="20"/>
        </w:rPr>
        <w:t>A financial audit report. The term does not include work papers underlying an audit.</w:t>
      </w:r>
    </w:p>
    <w:p w:rsidR="00531D2F" w:rsidRDefault="008A6841" w:rsidP="00BA3E34">
      <w:pPr>
        <w:pStyle w:val="normal0"/>
        <w:numPr>
          <w:ilvl w:val="0"/>
          <w:numId w:val="2"/>
        </w:numPr>
      </w:pPr>
      <w:r>
        <w:rPr>
          <w:rFonts w:ascii="Verdana" w:eastAsia="Verdana" w:hAnsi="Verdana" w:cs="Verdana"/>
          <w:sz w:val="20"/>
        </w:rPr>
        <w:t>Public Record</w:t>
      </w:r>
    </w:p>
    <w:p w:rsidR="00531D2F" w:rsidRDefault="008A6841" w:rsidP="00BA3E34">
      <w:pPr>
        <w:pStyle w:val="normal0"/>
        <w:numPr>
          <w:ilvl w:val="1"/>
          <w:numId w:val="2"/>
        </w:numPr>
      </w:pPr>
      <w:r>
        <w:rPr>
          <w:rFonts w:ascii="Verdana" w:eastAsia="Verdana" w:hAnsi="Verdana" w:cs="Verdana"/>
          <w:sz w:val="20"/>
        </w:rPr>
        <w:t>Old Version:</w:t>
      </w:r>
    </w:p>
    <w:p w:rsidR="00531D2F" w:rsidRDefault="008A6841" w:rsidP="00BA3E34">
      <w:pPr>
        <w:pStyle w:val="normal0"/>
        <w:numPr>
          <w:ilvl w:val="2"/>
          <w:numId w:val="2"/>
        </w:numPr>
      </w:pPr>
      <w:r>
        <w:rPr>
          <w:rFonts w:ascii="Verdana" w:eastAsia="Verdana" w:hAnsi="Verdana" w:cs="Verdana"/>
          <w:sz w:val="20"/>
        </w:rPr>
        <w:t>Any account, voucher or contract dealing with the receipt or disbursement of funds by an agency or its acquisition, use or disposal of services or of supplies, materials, equipment or other property and any minute, order or decision by an age</w:t>
      </w:r>
      <w:r>
        <w:rPr>
          <w:rFonts w:ascii="Verdana" w:eastAsia="Verdana" w:hAnsi="Verdana" w:cs="Verdana"/>
          <w:sz w:val="20"/>
        </w:rPr>
        <w:t>ncy fixing the personal or property rights, privileges, immunities, duties or obligations of any person or group of persons, provided that the term "public records" shall not mean any report, communication or other paper, the publication of which would dis</w:t>
      </w:r>
      <w:r>
        <w:rPr>
          <w:rFonts w:ascii="Verdana" w:eastAsia="Verdana" w:hAnsi="Verdana" w:cs="Verdana"/>
          <w:sz w:val="20"/>
        </w:rPr>
        <w:t xml:space="preserve">close the institution, progress or result of an investigation undertaken by an agency in the performance of its official duties, except those reports filed by agencies pertaining to </w:t>
      </w:r>
      <w:r>
        <w:rPr>
          <w:rFonts w:ascii="Verdana" w:eastAsia="Verdana" w:hAnsi="Verdana" w:cs="Verdana"/>
          <w:sz w:val="20"/>
        </w:rPr>
        <w:lastRenderedPageBreak/>
        <w:t>safety and health in industrial plants; it shall not include any record, d</w:t>
      </w:r>
      <w:r>
        <w:rPr>
          <w:rFonts w:ascii="Verdana" w:eastAsia="Verdana" w:hAnsi="Verdana" w:cs="Verdana"/>
          <w:sz w:val="20"/>
        </w:rPr>
        <w:t>ocument, material, exhibit, pleading, report, memorandum or other paper, access to or the publication of which is prohibited, restricted or forbidden by statute law or order or decree of court, or which would operate to the prejudice or impairment of a per</w:t>
      </w:r>
      <w:r>
        <w:rPr>
          <w:rFonts w:ascii="Verdana" w:eastAsia="Verdana" w:hAnsi="Verdana" w:cs="Verdana"/>
          <w:sz w:val="20"/>
        </w:rPr>
        <w:t xml:space="preserve">son's reputation or personal security, or which would result in the loss by the commonwealth or any of its political subdivisions or commissions or state or municipal </w:t>
      </w:r>
      <w:proofErr w:type="spellStart"/>
      <w:r>
        <w:rPr>
          <w:rFonts w:ascii="Verdana" w:eastAsia="Verdana" w:hAnsi="Verdana" w:cs="Verdana"/>
          <w:sz w:val="20"/>
        </w:rPr>
        <w:t>authorites</w:t>
      </w:r>
      <w:proofErr w:type="spellEnd"/>
      <w:r>
        <w:rPr>
          <w:rFonts w:ascii="Verdana" w:eastAsia="Verdana" w:hAnsi="Verdana" w:cs="Verdana"/>
          <w:sz w:val="20"/>
        </w:rPr>
        <w:t xml:space="preserve"> of federal funds, excepting </w:t>
      </w:r>
      <w:proofErr w:type="spellStart"/>
      <w:r>
        <w:rPr>
          <w:rFonts w:ascii="Verdana" w:eastAsia="Verdana" w:hAnsi="Verdana" w:cs="Verdana"/>
          <w:sz w:val="20"/>
        </w:rPr>
        <w:t>therefrom</w:t>
      </w:r>
      <w:proofErr w:type="spellEnd"/>
      <w:r>
        <w:rPr>
          <w:rFonts w:ascii="Verdana" w:eastAsia="Verdana" w:hAnsi="Verdana" w:cs="Verdana"/>
          <w:sz w:val="20"/>
        </w:rPr>
        <w:t>, however, the record of any conviction f</w:t>
      </w:r>
      <w:r>
        <w:rPr>
          <w:rFonts w:ascii="Verdana" w:eastAsia="Verdana" w:hAnsi="Verdana" w:cs="Verdana"/>
          <w:sz w:val="20"/>
        </w:rPr>
        <w:t>or any criminal act.</w:t>
      </w:r>
    </w:p>
    <w:p w:rsidR="00531D2F" w:rsidRDefault="008A6841" w:rsidP="00BA3E34">
      <w:pPr>
        <w:pStyle w:val="normal0"/>
        <w:numPr>
          <w:ilvl w:val="1"/>
          <w:numId w:val="2"/>
        </w:numPr>
      </w:pPr>
      <w:r>
        <w:rPr>
          <w:rFonts w:ascii="Verdana" w:eastAsia="Verdana" w:hAnsi="Verdana" w:cs="Verdana"/>
          <w:sz w:val="20"/>
        </w:rPr>
        <w:t>New Version:</w:t>
      </w:r>
    </w:p>
    <w:p w:rsidR="00531D2F" w:rsidRDefault="008A6841" w:rsidP="00BA3E34">
      <w:pPr>
        <w:pStyle w:val="normal0"/>
        <w:numPr>
          <w:ilvl w:val="2"/>
          <w:numId w:val="2"/>
        </w:numPr>
      </w:pPr>
      <w:r>
        <w:rPr>
          <w:rFonts w:ascii="Verdana" w:eastAsia="Verdana" w:hAnsi="Verdana" w:cs="Verdana"/>
          <w:sz w:val="20"/>
        </w:rPr>
        <w:t>A RECORD, including a FINANCIAL RECORD, of a commonwealth or local agency that:</w:t>
      </w:r>
    </w:p>
    <w:p w:rsidR="00531D2F" w:rsidRDefault="008A6841" w:rsidP="00BA3E34">
      <w:pPr>
        <w:pStyle w:val="normal0"/>
        <w:numPr>
          <w:ilvl w:val="2"/>
          <w:numId w:val="2"/>
        </w:numPr>
      </w:pPr>
      <w:r>
        <w:rPr>
          <w:rFonts w:ascii="Verdana" w:eastAsia="Verdana" w:hAnsi="Verdana" w:cs="Verdana"/>
          <w:sz w:val="20"/>
        </w:rPr>
        <w:t>Is not exempt under §708;</w:t>
      </w:r>
    </w:p>
    <w:p w:rsidR="00531D2F" w:rsidRDefault="008A6841" w:rsidP="00BA3E34">
      <w:pPr>
        <w:pStyle w:val="normal0"/>
        <w:numPr>
          <w:ilvl w:val="2"/>
          <w:numId w:val="2"/>
        </w:numPr>
      </w:pPr>
      <w:r>
        <w:rPr>
          <w:rFonts w:ascii="Verdana" w:eastAsia="Verdana" w:hAnsi="Verdana" w:cs="Verdana"/>
          <w:sz w:val="20"/>
        </w:rPr>
        <w:t>Is not exempt from being disclosed under any other federal or state law or regulation or judicial order or decree; o</w:t>
      </w:r>
      <w:r>
        <w:rPr>
          <w:rFonts w:ascii="Verdana" w:eastAsia="Verdana" w:hAnsi="Verdana" w:cs="Verdana"/>
          <w:sz w:val="20"/>
        </w:rPr>
        <w:t>r</w:t>
      </w:r>
    </w:p>
    <w:p w:rsidR="00531D2F" w:rsidRDefault="008A6841" w:rsidP="00BA3E34">
      <w:pPr>
        <w:pStyle w:val="normal0"/>
        <w:numPr>
          <w:ilvl w:val="2"/>
          <w:numId w:val="2"/>
        </w:numPr>
      </w:pPr>
      <w:r>
        <w:rPr>
          <w:rFonts w:ascii="Verdana" w:eastAsia="Verdana" w:hAnsi="Verdana" w:cs="Verdana"/>
          <w:sz w:val="20"/>
        </w:rPr>
        <w:t>Is not protected by a privilege.</w:t>
      </w:r>
    </w:p>
    <w:p w:rsidR="00531D2F" w:rsidRDefault="008A6841" w:rsidP="00BA3E34">
      <w:pPr>
        <w:pStyle w:val="normal0"/>
        <w:numPr>
          <w:ilvl w:val="1"/>
          <w:numId w:val="2"/>
        </w:numPr>
      </w:pPr>
      <w:r>
        <w:rPr>
          <w:rFonts w:ascii="Verdana" w:eastAsia="Verdana" w:hAnsi="Verdana" w:cs="Verdana"/>
          <w:sz w:val="20"/>
        </w:rPr>
        <w:t>Possession of the record</w:t>
      </w:r>
    </w:p>
    <w:p w:rsidR="00531D2F" w:rsidRDefault="008A6841" w:rsidP="00BA3E34">
      <w:pPr>
        <w:pStyle w:val="normal0"/>
        <w:numPr>
          <w:ilvl w:val="2"/>
          <w:numId w:val="2"/>
        </w:numPr>
      </w:pPr>
      <w:r>
        <w:rPr>
          <w:rFonts w:ascii="Verdana" w:eastAsia="Verdana" w:hAnsi="Verdana" w:cs="Verdana"/>
          <w:sz w:val="20"/>
        </w:rPr>
        <w:t>Possessed by the agency, or; a public record that is in the possession of a 3rd party with whom the agency has contracted.</w:t>
      </w:r>
    </w:p>
    <w:p w:rsidR="00531D2F" w:rsidRDefault="008A6841" w:rsidP="00BA3E34">
      <w:pPr>
        <w:pStyle w:val="normal0"/>
        <w:numPr>
          <w:ilvl w:val="0"/>
          <w:numId w:val="2"/>
        </w:numPr>
      </w:pPr>
      <w:r>
        <w:rPr>
          <w:rFonts w:ascii="Verdana" w:eastAsia="Verdana" w:hAnsi="Verdana" w:cs="Verdana"/>
          <w:sz w:val="20"/>
        </w:rPr>
        <w:t>Burden of Proof</w:t>
      </w:r>
    </w:p>
    <w:p w:rsidR="00531D2F" w:rsidRDefault="008A6841" w:rsidP="00BA3E34">
      <w:pPr>
        <w:pStyle w:val="normal0"/>
        <w:numPr>
          <w:ilvl w:val="1"/>
          <w:numId w:val="2"/>
        </w:numPr>
      </w:pPr>
      <w:r>
        <w:rPr>
          <w:rFonts w:ascii="Verdana" w:eastAsia="Verdana" w:hAnsi="Verdana" w:cs="Verdana"/>
          <w:i/>
          <w:sz w:val="20"/>
        </w:rPr>
        <w:t>Old Version:</w:t>
      </w:r>
    </w:p>
    <w:p w:rsidR="00531D2F" w:rsidRDefault="008A6841" w:rsidP="00BA3E34">
      <w:pPr>
        <w:pStyle w:val="normal0"/>
        <w:numPr>
          <w:ilvl w:val="2"/>
          <w:numId w:val="2"/>
        </w:numPr>
      </w:pPr>
      <w:r>
        <w:rPr>
          <w:rFonts w:ascii="Verdana" w:eastAsia="Verdana" w:hAnsi="Verdana" w:cs="Verdana"/>
          <w:i/>
          <w:sz w:val="20"/>
        </w:rPr>
        <w:t>The fact that a record is merely in the poss</w:t>
      </w:r>
      <w:r>
        <w:rPr>
          <w:rFonts w:ascii="Verdana" w:eastAsia="Verdana" w:hAnsi="Verdana" w:cs="Verdana"/>
          <w:i/>
          <w:sz w:val="20"/>
        </w:rPr>
        <w:t>ession of an agency does not create the presumption that the record is a public record subject or disclosure under the Right to Know Act.</w:t>
      </w:r>
    </w:p>
    <w:p w:rsidR="00531D2F" w:rsidRDefault="008A6841" w:rsidP="00BA3E34">
      <w:pPr>
        <w:pStyle w:val="normal0"/>
        <w:numPr>
          <w:ilvl w:val="2"/>
          <w:numId w:val="2"/>
        </w:numPr>
      </w:pPr>
      <w:r>
        <w:rPr>
          <w:rFonts w:ascii="Verdana" w:eastAsia="Verdana" w:hAnsi="Verdana" w:cs="Verdana"/>
          <w:i/>
          <w:sz w:val="20"/>
        </w:rPr>
        <w:t>The burden of proof is placed on the requesting party to establish that the documents sought are public records under the Right to Know Law.</w:t>
      </w:r>
    </w:p>
    <w:p w:rsidR="00531D2F" w:rsidRDefault="008A6841" w:rsidP="00BA3E34">
      <w:pPr>
        <w:pStyle w:val="normal0"/>
        <w:numPr>
          <w:ilvl w:val="1"/>
          <w:numId w:val="2"/>
        </w:numPr>
      </w:pPr>
      <w:r>
        <w:rPr>
          <w:rFonts w:ascii="Verdana" w:eastAsia="Verdana" w:hAnsi="Verdana" w:cs="Verdana"/>
          <w:sz w:val="20"/>
        </w:rPr>
        <w:t>New Version:</w:t>
      </w:r>
    </w:p>
    <w:p w:rsidR="00531D2F" w:rsidRDefault="008A6841" w:rsidP="00BA3E34">
      <w:pPr>
        <w:pStyle w:val="normal0"/>
        <w:numPr>
          <w:ilvl w:val="2"/>
          <w:numId w:val="2"/>
        </w:numPr>
      </w:pPr>
      <w:r>
        <w:rPr>
          <w:rFonts w:ascii="Verdana" w:eastAsia="Verdana" w:hAnsi="Verdana" w:cs="Verdana"/>
          <w:sz w:val="20"/>
        </w:rPr>
        <w:t xml:space="preserve">General rule - </w:t>
      </w:r>
      <w:r>
        <w:rPr>
          <w:rFonts w:ascii="Verdana" w:eastAsia="Verdana" w:hAnsi="Verdana" w:cs="Verdana"/>
          <w:b/>
          <w:sz w:val="20"/>
        </w:rPr>
        <w:t>A record</w:t>
      </w:r>
      <w:r>
        <w:rPr>
          <w:rFonts w:ascii="Verdana" w:eastAsia="Verdana" w:hAnsi="Verdana" w:cs="Verdana"/>
          <w:sz w:val="20"/>
        </w:rPr>
        <w:t xml:space="preserve"> in the possession of a commonwealth agency or local agency </w:t>
      </w:r>
      <w:r>
        <w:rPr>
          <w:rFonts w:ascii="Verdana" w:eastAsia="Verdana" w:hAnsi="Verdana" w:cs="Verdana"/>
          <w:b/>
          <w:sz w:val="20"/>
        </w:rPr>
        <w:t>shall be presumed t</w:t>
      </w:r>
      <w:r>
        <w:rPr>
          <w:rFonts w:ascii="Verdana" w:eastAsia="Verdana" w:hAnsi="Verdana" w:cs="Verdana"/>
          <w:b/>
          <w:sz w:val="20"/>
        </w:rPr>
        <w:t>o be a public record.</w:t>
      </w:r>
      <w:r>
        <w:rPr>
          <w:rFonts w:ascii="Verdana" w:eastAsia="Verdana" w:hAnsi="Verdana" w:cs="Verdana"/>
          <w:sz w:val="20"/>
        </w:rPr>
        <w:t xml:space="preserve"> The presumption shall not apply if:</w:t>
      </w:r>
    </w:p>
    <w:p w:rsidR="00531D2F" w:rsidRDefault="008A6841" w:rsidP="00BA3E34">
      <w:pPr>
        <w:pStyle w:val="normal0"/>
        <w:numPr>
          <w:ilvl w:val="2"/>
          <w:numId w:val="2"/>
        </w:numPr>
      </w:pPr>
      <w:r>
        <w:rPr>
          <w:rFonts w:ascii="Verdana" w:eastAsia="Verdana" w:hAnsi="Verdana" w:cs="Verdana"/>
          <w:sz w:val="20"/>
        </w:rPr>
        <w:t>The record is exempt under §708;</w:t>
      </w:r>
    </w:p>
    <w:p w:rsidR="00531D2F" w:rsidRDefault="008A6841" w:rsidP="00BA3E34">
      <w:pPr>
        <w:pStyle w:val="normal0"/>
        <w:numPr>
          <w:ilvl w:val="2"/>
          <w:numId w:val="2"/>
        </w:numPr>
      </w:pPr>
      <w:r>
        <w:rPr>
          <w:rFonts w:ascii="Verdana" w:eastAsia="Verdana" w:hAnsi="Verdana" w:cs="Verdana"/>
          <w:sz w:val="20"/>
        </w:rPr>
        <w:t>The record is protected by a privilege; or</w:t>
      </w:r>
    </w:p>
    <w:p w:rsidR="00531D2F" w:rsidRDefault="008A6841" w:rsidP="00BA3E34">
      <w:pPr>
        <w:pStyle w:val="normal0"/>
        <w:numPr>
          <w:ilvl w:val="2"/>
          <w:numId w:val="2"/>
        </w:numPr>
      </w:pPr>
      <w:r>
        <w:rPr>
          <w:rFonts w:ascii="Verdana" w:eastAsia="Verdana" w:hAnsi="Verdana" w:cs="Verdana"/>
          <w:sz w:val="20"/>
        </w:rPr>
        <w:t>The record is exempt from disclosure under any other federal or state law or regulation or judicial order or decree.</w:t>
      </w:r>
    </w:p>
    <w:p w:rsidR="00531D2F" w:rsidRDefault="00531D2F" w:rsidP="00BA3E34">
      <w:pPr>
        <w:pStyle w:val="normal0"/>
        <w:numPr>
          <w:ilvl w:val="0"/>
          <w:numId w:val="2"/>
        </w:numPr>
      </w:pPr>
    </w:p>
    <w:p w:rsidR="00531D2F" w:rsidRDefault="008A6841" w:rsidP="00BA3E34">
      <w:pPr>
        <w:pStyle w:val="normal0"/>
        <w:numPr>
          <w:ilvl w:val="0"/>
          <w:numId w:val="2"/>
        </w:numPr>
      </w:pPr>
      <w:r>
        <w:rPr>
          <w:rFonts w:ascii="Verdana" w:eastAsia="Verdana" w:hAnsi="Verdana" w:cs="Verdana"/>
          <w:sz w:val="20"/>
        </w:rPr>
        <w:t>Univ</w:t>
      </w:r>
      <w:r>
        <w:rPr>
          <w:rFonts w:ascii="Verdana" w:eastAsia="Verdana" w:hAnsi="Verdana" w:cs="Verdana"/>
          <w:sz w:val="20"/>
        </w:rPr>
        <w:t>ersity Issues</w:t>
      </w:r>
    </w:p>
    <w:p w:rsidR="00531D2F" w:rsidRDefault="008A6841" w:rsidP="00BA3E34">
      <w:pPr>
        <w:pStyle w:val="normal0"/>
        <w:numPr>
          <w:ilvl w:val="1"/>
          <w:numId w:val="2"/>
        </w:numPr>
      </w:pPr>
      <w:r>
        <w:rPr>
          <w:rFonts w:ascii="Verdana" w:eastAsia="Verdana" w:hAnsi="Verdana" w:cs="Verdana"/>
          <w:sz w:val="20"/>
        </w:rPr>
        <w:t>One "Open Records Officer" at each University</w:t>
      </w:r>
    </w:p>
    <w:p w:rsidR="00531D2F" w:rsidRDefault="008A6841" w:rsidP="00BA3E34">
      <w:pPr>
        <w:pStyle w:val="normal0"/>
        <w:numPr>
          <w:ilvl w:val="1"/>
          <w:numId w:val="2"/>
        </w:numPr>
      </w:pPr>
      <w:r>
        <w:rPr>
          <w:rFonts w:ascii="Verdana" w:eastAsia="Verdana" w:hAnsi="Verdana" w:cs="Verdana"/>
          <w:sz w:val="20"/>
        </w:rPr>
        <w:t>No Exceptions Officer</w:t>
      </w:r>
    </w:p>
    <w:p w:rsidR="00531D2F" w:rsidRDefault="008A6841" w:rsidP="00BA3E34">
      <w:pPr>
        <w:pStyle w:val="normal0"/>
        <w:numPr>
          <w:ilvl w:val="2"/>
          <w:numId w:val="2"/>
        </w:numPr>
      </w:pPr>
      <w:r>
        <w:rPr>
          <w:rFonts w:ascii="Verdana" w:eastAsia="Verdana" w:hAnsi="Verdana" w:cs="Verdana"/>
          <w:sz w:val="20"/>
        </w:rPr>
        <w:t>Get it right the first time.</w:t>
      </w:r>
    </w:p>
    <w:p w:rsidR="00531D2F" w:rsidRDefault="008A6841" w:rsidP="00BA3E34">
      <w:pPr>
        <w:pStyle w:val="normal0"/>
        <w:numPr>
          <w:ilvl w:val="1"/>
          <w:numId w:val="2"/>
        </w:numPr>
      </w:pPr>
      <w:r>
        <w:rPr>
          <w:rFonts w:ascii="Verdana" w:eastAsia="Verdana" w:hAnsi="Verdana" w:cs="Verdana"/>
          <w:sz w:val="20"/>
        </w:rPr>
        <w:t>Five (5) days to respond to a written request.</w:t>
      </w:r>
    </w:p>
    <w:p w:rsidR="00531D2F" w:rsidRDefault="008A6841" w:rsidP="00BA3E34">
      <w:pPr>
        <w:pStyle w:val="normal0"/>
        <w:numPr>
          <w:ilvl w:val="1"/>
          <w:numId w:val="2"/>
        </w:numPr>
      </w:pPr>
      <w:r>
        <w:rPr>
          <w:rFonts w:ascii="Verdana" w:eastAsia="Verdana" w:hAnsi="Verdana" w:cs="Verdana"/>
          <w:sz w:val="20"/>
        </w:rPr>
        <w:t>Response Issues:</w:t>
      </w:r>
    </w:p>
    <w:p w:rsidR="00531D2F" w:rsidRDefault="008A6841" w:rsidP="00BA3E34">
      <w:pPr>
        <w:pStyle w:val="normal0"/>
        <w:numPr>
          <w:ilvl w:val="2"/>
          <w:numId w:val="2"/>
        </w:numPr>
      </w:pPr>
      <w:r>
        <w:rPr>
          <w:rFonts w:ascii="Verdana" w:eastAsia="Verdana" w:hAnsi="Verdana" w:cs="Verdana"/>
          <w:sz w:val="20"/>
        </w:rPr>
        <w:t>Agency can require that applicable fees be paid prior to release of information.</w:t>
      </w:r>
    </w:p>
    <w:p w:rsidR="00531D2F" w:rsidRDefault="008A6841" w:rsidP="00BA3E34">
      <w:pPr>
        <w:pStyle w:val="normal0"/>
        <w:numPr>
          <w:ilvl w:val="2"/>
          <w:numId w:val="2"/>
        </w:numPr>
      </w:pPr>
      <w:r>
        <w:rPr>
          <w:rFonts w:ascii="Verdana" w:eastAsia="Verdana" w:hAnsi="Verdana" w:cs="Verdana"/>
          <w:sz w:val="20"/>
        </w:rPr>
        <w:t xml:space="preserve">If </w:t>
      </w:r>
      <w:proofErr w:type="spellStart"/>
      <w:r>
        <w:rPr>
          <w:rFonts w:ascii="Verdana" w:eastAsia="Verdana" w:hAnsi="Verdana" w:cs="Verdana"/>
          <w:sz w:val="20"/>
        </w:rPr>
        <w:t>ther</w:t>
      </w:r>
      <w:proofErr w:type="spellEnd"/>
      <w:r>
        <w:rPr>
          <w:rFonts w:ascii="Verdana" w:eastAsia="Verdana" w:hAnsi="Verdana" w:cs="Verdana"/>
          <w:sz w:val="20"/>
        </w:rPr>
        <w:t xml:space="preserve"> </w:t>
      </w:r>
      <w:proofErr w:type="spellStart"/>
      <w:r>
        <w:rPr>
          <w:rFonts w:ascii="Verdana" w:eastAsia="Verdana" w:hAnsi="Verdana" w:cs="Verdana"/>
          <w:sz w:val="20"/>
        </w:rPr>
        <w:t>eis</w:t>
      </w:r>
      <w:proofErr w:type="spellEnd"/>
      <w:r>
        <w:rPr>
          <w:rFonts w:ascii="Verdana" w:eastAsia="Verdana" w:hAnsi="Verdana" w:cs="Verdana"/>
          <w:sz w:val="20"/>
        </w:rPr>
        <w:t xml:space="preserve"> no </w:t>
      </w:r>
      <w:proofErr w:type="spellStart"/>
      <w:r>
        <w:rPr>
          <w:rFonts w:ascii="Verdana" w:eastAsia="Verdana" w:hAnsi="Verdana" w:cs="Verdana"/>
          <w:sz w:val="20"/>
        </w:rPr>
        <w:t>agecny</w:t>
      </w:r>
      <w:proofErr w:type="spellEnd"/>
      <w:r>
        <w:rPr>
          <w:rFonts w:ascii="Verdana" w:eastAsia="Verdana" w:hAnsi="Verdana" w:cs="Verdana"/>
          <w:sz w:val="20"/>
        </w:rPr>
        <w:t xml:space="preserve"> response within five (5) business days then it is a </w:t>
      </w:r>
      <w:r>
        <w:rPr>
          <w:rFonts w:ascii="Verdana" w:eastAsia="Verdana" w:hAnsi="Verdana" w:cs="Verdana"/>
          <w:sz w:val="20"/>
          <w:u w:val="single"/>
        </w:rPr>
        <w:t>deemed denial</w:t>
      </w:r>
      <w:r>
        <w:rPr>
          <w:rFonts w:ascii="Verdana" w:eastAsia="Verdana" w:hAnsi="Verdana" w:cs="Verdana"/>
          <w:sz w:val="20"/>
        </w:rPr>
        <w:t>.</w:t>
      </w:r>
    </w:p>
    <w:p w:rsidR="00531D2F" w:rsidRDefault="008A6841" w:rsidP="00BA3E34">
      <w:pPr>
        <w:pStyle w:val="normal0"/>
        <w:numPr>
          <w:ilvl w:val="0"/>
          <w:numId w:val="2"/>
        </w:numPr>
      </w:pPr>
      <w:r>
        <w:rPr>
          <w:rFonts w:ascii="Verdana" w:eastAsia="Verdana" w:hAnsi="Verdana" w:cs="Verdana"/>
          <w:sz w:val="20"/>
        </w:rPr>
        <w:t>Requests</w:t>
      </w:r>
    </w:p>
    <w:p w:rsidR="00531D2F" w:rsidRDefault="008A6841" w:rsidP="00BA3E34">
      <w:pPr>
        <w:pStyle w:val="normal0"/>
        <w:numPr>
          <w:ilvl w:val="1"/>
          <w:numId w:val="2"/>
        </w:numPr>
      </w:pPr>
      <w:r>
        <w:rPr>
          <w:rFonts w:ascii="Verdana" w:eastAsia="Verdana" w:hAnsi="Verdana" w:cs="Verdana"/>
          <w:sz w:val="20"/>
        </w:rPr>
        <w:lastRenderedPageBreak/>
        <w:t>Requests can be received in any format: verbal, e-mail, facsimile, written.</w:t>
      </w:r>
    </w:p>
    <w:p w:rsidR="00531D2F" w:rsidRDefault="008A6841" w:rsidP="00BA3E34">
      <w:pPr>
        <w:pStyle w:val="normal0"/>
        <w:numPr>
          <w:ilvl w:val="1"/>
          <w:numId w:val="2"/>
        </w:numPr>
      </w:pPr>
      <w:r>
        <w:rPr>
          <w:rFonts w:ascii="Verdana" w:eastAsia="Verdana" w:hAnsi="Verdana" w:cs="Verdana"/>
          <w:sz w:val="20"/>
        </w:rPr>
        <w:t>All universities will have the requirement to post a link on their web page that h</w:t>
      </w:r>
      <w:r>
        <w:rPr>
          <w:rFonts w:ascii="Verdana" w:eastAsia="Verdana" w:hAnsi="Verdana" w:cs="Verdana"/>
          <w:sz w:val="20"/>
        </w:rPr>
        <w:t>as contact information for:</w:t>
      </w:r>
    </w:p>
    <w:p w:rsidR="00531D2F" w:rsidRDefault="008A6841" w:rsidP="00BA3E34">
      <w:pPr>
        <w:pStyle w:val="normal0"/>
        <w:numPr>
          <w:ilvl w:val="2"/>
          <w:numId w:val="2"/>
        </w:numPr>
      </w:pPr>
      <w:r>
        <w:rPr>
          <w:rFonts w:ascii="Verdana" w:eastAsia="Verdana" w:hAnsi="Verdana" w:cs="Verdana"/>
          <w:sz w:val="20"/>
        </w:rPr>
        <w:t>Their Open Records Officer;</w:t>
      </w:r>
    </w:p>
    <w:p w:rsidR="00531D2F" w:rsidRDefault="008A6841" w:rsidP="00BA3E34">
      <w:pPr>
        <w:pStyle w:val="normal0"/>
        <w:numPr>
          <w:ilvl w:val="2"/>
          <w:numId w:val="2"/>
        </w:numPr>
      </w:pPr>
      <w:r>
        <w:rPr>
          <w:rFonts w:ascii="Verdana" w:eastAsia="Verdana" w:hAnsi="Verdana" w:cs="Verdana"/>
          <w:sz w:val="20"/>
        </w:rPr>
        <w:t>Their Open Records Policy;</w:t>
      </w:r>
    </w:p>
    <w:p w:rsidR="00531D2F" w:rsidRDefault="008A6841" w:rsidP="00BA3E34">
      <w:pPr>
        <w:pStyle w:val="normal0"/>
        <w:numPr>
          <w:ilvl w:val="2"/>
          <w:numId w:val="2"/>
        </w:numPr>
      </w:pPr>
      <w:r>
        <w:rPr>
          <w:rFonts w:ascii="Verdana" w:eastAsia="Verdana" w:hAnsi="Verdana" w:cs="Verdana"/>
          <w:sz w:val="20"/>
        </w:rPr>
        <w:t>The Office of Open Records; and,</w:t>
      </w:r>
    </w:p>
    <w:p w:rsidR="00531D2F" w:rsidRDefault="008A6841" w:rsidP="00BA3E34">
      <w:pPr>
        <w:pStyle w:val="normal0"/>
        <w:numPr>
          <w:ilvl w:val="2"/>
          <w:numId w:val="2"/>
        </w:numPr>
      </w:pPr>
      <w:r>
        <w:rPr>
          <w:rFonts w:ascii="Verdana" w:eastAsia="Verdana" w:hAnsi="Verdana" w:cs="Verdana"/>
          <w:sz w:val="20"/>
        </w:rPr>
        <w:t>A form that can be used to request open records.</w:t>
      </w:r>
    </w:p>
    <w:p w:rsidR="00531D2F" w:rsidRDefault="008A6841" w:rsidP="00BA3E34">
      <w:pPr>
        <w:pStyle w:val="normal0"/>
        <w:numPr>
          <w:ilvl w:val="3"/>
          <w:numId w:val="2"/>
        </w:numPr>
      </w:pPr>
      <w:r>
        <w:rPr>
          <w:rFonts w:ascii="Verdana" w:eastAsia="Verdana" w:hAnsi="Verdana" w:cs="Verdana"/>
          <w:sz w:val="20"/>
        </w:rPr>
        <w:t>You are able to develop your own forms as long as it contains the required information.</w:t>
      </w:r>
    </w:p>
    <w:p w:rsidR="00531D2F" w:rsidRDefault="008A6841" w:rsidP="00BA3E34">
      <w:pPr>
        <w:pStyle w:val="normal0"/>
        <w:numPr>
          <w:ilvl w:val="1"/>
          <w:numId w:val="2"/>
        </w:numPr>
      </w:pPr>
      <w:r>
        <w:rPr>
          <w:rFonts w:ascii="Verdana" w:eastAsia="Verdana" w:hAnsi="Verdana" w:cs="Verdana"/>
          <w:sz w:val="20"/>
        </w:rPr>
        <w:t>Age</w:t>
      </w:r>
      <w:r>
        <w:rPr>
          <w:rFonts w:ascii="Verdana" w:eastAsia="Verdana" w:hAnsi="Verdana" w:cs="Verdana"/>
          <w:sz w:val="20"/>
        </w:rPr>
        <w:t xml:space="preserve">ncies can request an extension of time of up to thirty (30) days in addition to the 5 business days (total approx. 35 days) </w:t>
      </w:r>
      <w:r>
        <w:rPr>
          <w:rFonts w:ascii="Verdana" w:eastAsia="Verdana" w:hAnsi="Verdana" w:cs="Verdana"/>
          <w:sz w:val="20"/>
          <w:u w:val="single"/>
        </w:rPr>
        <w:t>if the following applies</w:t>
      </w:r>
      <w:r>
        <w:rPr>
          <w:rFonts w:ascii="Verdana" w:eastAsia="Verdana" w:hAnsi="Verdana" w:cs="Verdana"/>
          <w:sz w:val="20"/>
        </w:rPr>
        <w:t>:</w:t>
      </w:r>
    </w:p>
    <w:p w:rsidR="00531D2F" w:rsidRDefault="008A6841" w:rsidP="00BA3E34">
      <w:pPr>
        <w:pStyle w:val="normal0"/>
        <w:numPr>
          <w:ilvl w:val="2"/>
          <w:numId w:val="2"/>
        </w:numPr>
      </w:pPr>
      <w:r>
        <w:rPr>
          <w:rFonts w:ascii="Verdana" w:eastAsia="Verdana" w:hAnsi="Verdana" w:cs="Verdana"/>
          <w:sz w:val="20"/>
        </w:rPr>
        <w:t>Request requires redaction.</w:t>
      </w:r>
    </w:p>
    <w:p w:rsidR="00531D2F" w:rsidRDefault="008A6841" w:rsidP="00BA3E34">
      <w:pPr>
        <w:pStyle w:val="normal0"/>
        <w:numPr>
          <w:ilvl w:val="2"/>
          <w:numId w:val="2"/>
        </w:numPr>
      </w:pPr>
      <w:r>
        <w:rPr>
          <w:rFonts w:ascii="Verdana" w:eastAsia="Verdana" w:hAnsi="Verdana" w:cs="Verdana"/>
          <w:sz w:val="20"/>
        </w:rPr>
        <w:t>Request requires retrieval of records from remote location.</w:t>
      </w:r>
    </w:p>
    <w:p w:rsidR="00531D2F" w:rsidRDefault="008A6841" w:rsidP="00BA3E34">
      <w:pPr>
        <w:pStyle w:val="normal0"/>
        <w:numPr>
          <w:ilvl w:val="2"/>
          <w:numId w:val="2"/>
        </w:numPr>
      </w:pPr>
      <w:r>
        <w:rPr>
          <w:rFonts w:ascii="Verdana" w:eastAsia="Verdana" w:hAnsi="Verdana" w:cs="Verdana"/>
          <w:sz w:val="20"/>
        </w:rPr>
        <w:t>Response cannot be</w:t>
      </w:r>
      <w:r>
        <w:rPr>
          <w:rFonts w:ascii="Verdana" w:eastAsia="Verdana" w:hAnsi="Verdana" w:cs="Verdana"/>
          <w:sz w:val="20"/>
        </w:rPr>
        <w:t xml:space="preserve"> completed due to bona fide staffing issue.</w:t>
      </w:r>
    </w:p>
    <w:p w:rsidR="00531D2F" w:rsidRDefault="008A6841" w:rsidP="00BA3E34">
      <w:pPr>
        <w:pStyle w:val="normal0"/>
        <w:numPr>
          <w:ilvl w:val="2"/>
          <w:numId w:val="2"/>
        </w:numPr>
      </w:pPr>
      <w:r>
        <w:rPr>
          <w:rFonts w:ascii="Verdana" w:eastAsia="Verdana" w:hAnsi="Verdana" w:cs="Verdana"/>
          <w:sz w:val="20"/>
        </w:rPr>
        <w:t>Legal review is required to determine if record is subject to access.</w:t>
      </w:r>
    </w:p>
    <w:p w:rsidR="00531D2F" w:rsidRDefault="008A6841" w:rsidP="00BA3E34">
      <w:pPr>
        <w:pStyle w:val="normal0"/>
        <w:numPr>
          <w:ilvl w:val="2"/>
          <w:numId w:val="2"/>
        </w:numPr>
      </w:pPr>
      <w:r>
        <w:rPr>
          <w:rFonts w:ascii="Verdana" w:eastAsia="Verdana" w:hAnsi="Verdana" w:cs="Verdana"/>
          <w:sz w:val="20"/>
        </w:rPr>
        <w:t>Requestor has not complied with agency's policies.</w:t>
      </w:r>
    </w:p>
    <w:p w:rsidR="00531D2F" w:rsidRDefault="008A6841" w:rsidP="00BA3E34">
      <w:pPr>
        <w:pStyle w:val="normal0"/>
        <w:numPr>
          <w:ilvl w:val="2"/>
          <w:numId w:val="2"/>
        </w:numPr>
      </w:pPr>
      <w:r>
        <w:rPr>
          <w:rFonts w:ascii="Verdana" w:eastAsia="Verdana" w:hAnsi="Verdana" w:cs="Verdana"/>
          <w:sz w:val="20"/>
        </w:rPr>
        <w:t>Requestor refuses to pay applicable fees.</w:t>
      </w:r>
    </w:p>
    <w:p w:rsidR="00531D2F" w:rsidRDefault="008A6841" w:rsidP="00BA3E34">
      <w:pPr>
        <w:pStyle w:val="normal0"/>
        <w:numPr>
          <w:ilvl w:val="2"/>
          <w:numId w:val="2"/>
        </w:numPr>
      </w:pPr>
      <w:r>
        <w:rPr>
          <w:rFonts w:ascii="Verdana" w:eastAsia="Verdana" w:hAnsi="Verdana" w:cs="Verdana"/>
          <w:sz w:val="20"/>
        </w:rPr>
        <w:t>The extent or nature of the request precludes res</w:t>
      </w:r>
      <w:r>
        <w:rPr>
          <w:rFonts w:ascii="Verdana" w:eastAsia="Verdana" w:hAnsi="Verdana" w:cs="Verdana"/>
          <w:sz w:val="20"/>
        </w:rPr>
        <w:t>ponse within the required time period.</w:t>
      </w:r>
    </w:p>
    <w:p w:rsidR="00531D2F" w:rsidRDefault="008A6841" w:rsidP="00BA3E34">
      <w:pPr>
        <w:pStyle w:val="normal0"/>
        <w:numPr>
          <w:ilvl w:val="1"/>
          <w:numId w:val="2"/>
        </w:numPr>
      </w:pPr>
      <w:r>
        <w:rPr>
          <w:rFonts w:ascii="Verdana" w:eastAsia="Verdana" w:hAnsi="Verdana" w:cs="Verdana"/>
          <w:sz w:val="20"/>
        </w:rPr>
        <w:t>Extensions</w:t>
      </w:r>
    </w:p>
    <w:p w:rsidR="00531D2F" w:rsidRDefault="008A6841" w:rsidP="00BA3E34">
      <w:pPr>
        <w:pStyle w:val="normal0"/>
        <w:numPr>
          <w:ilvl w:val="2"/>
          <w:numId w:val="2"/>
        </w:numPr>
      </w:pPr>
      <w:r>
        <w:rPr>
          <w:rFonts w:ascii="Verdana" w:eastAsia="Verdana" w:hAnsi="Verdana" w:cs="Verdana"/>
          <w:sz w:val="20"/>
        </w:rPr>
        <w:t>Written notice of the requested extension must occur within the 5 day window.</w:t>
      </w:r>
    </w:p>
    <w:p w:rsidR="00531D2F" w:rsidRDefault="008A6841" w:rsidP="00BA3E34">
      <w:pPr>
        <w:pStyle w:val="normal0"/>
        <w:numPr>
          <w:ilvl w:val="2"/>
          <w:numId w:val="2"/>
        </w:numPr>
      </w:pPr>
      <w:r>
        <w:rPr>
          <w:rFonts w:ascii="Verdana" w:eastAsia="Verdana" w:hAnsi="Verdana" w:cs="Verdana"/>
          <w:sz w:val="20"/>
        </w:rPr>
        <w:t>Extension can be longer than 30 day if the requestor agrees in writing to a longer extension. However, if the agency does not pr</w:t>
      </w:r>
      <w:r>
        <w:rPr>
          <w:rFonts w:ascii="Verdana" w:eastAsia="Verdana" w:hAnsi="Verdana" w:cs="Verdana"/>
          <w:sz w:val="20"/>
        </w:rPr>
        <w:t>oduce the records by the date agreed to by the requestor, it is deemed denied the day following the end of the extension.</w:t>
      </w:r>
    </w:p>
    <w:p w:rsidR="00531D2F" w:rsidRDefault="008A6841" w:rsidP="00BA3E34">
      <w:pPr>
        <w:pStyle w:val="normal0"/>
        <w:numPr>
          <w:ilvl w:val="1"/>
          <w:numId w:val="2"/>
        </w:numPr>
      </w:pPr>
      <w:r>
        <w:rPr>
          <w:rFonts w:ascii="Verdana" w:eastAsia="Verdana" w:hAnsi="Verdana" w:cs="Verdana"/>
          <w:sz w:val="20"/>
        </w:rPr>
        <w:t>WRITTEN RESPONSE</w:t>
      </w:r>
    </w:p>
    <w:p w:rsidR="00531D2F" w:rsidRDefault="008A6841" w:rsidP="00BA3E34">
      <w:pPr>
        <w:pStyle w:val="normal0"/>
        <w:numPr>
          <w:ilvl w:val="2"/>
          <w:numId w:val="2"/>
        </w:numPr>
      </w:pPr>
      <w:r>
        <w:rPr>
          <w:rFonts w:ascii="Verdana" w:eastAsia="Verdana" w:hAnsi="Verdana" w:cs="Verdana"/>
          <w:sz w:val="20"/>
        </w:rPr>
        <w:t>If the agency's response is a denial of a written request, whole or in part, the written denial must include:</w:t>
      </w:r>
    </w:p>
    <w:p w:rsidR="00531D2F" w:rsidRDefault="008A6841" w:rsidP="00BA3E34">
      <w:pPr>
        <w:pStyle w:val="normal0"/>
        <w:numPr>
          <w:ilvl w:val="3"/>
          <w:numId w:val="2"/>
        </w:numPr>
      </w:pPr>
      <w:r>
        <w:rPr>
          <w:rFonts w:ascii="Verdana" w:eastAsia="Verdana" w:hAnsi="Verdana" w:cs="Verdana"/>
          <w:sz w:val="20"/>
        </w:rPr>
        <w:t>A description of the record.</w:t>
      </w:r>
    </w:p>
    <w:p w:rsidR="00531D2F" w:rsidRDefault="008A6841" w:rsidP="00BA3E34">
      <w:pPr>
        <w:pStyle w:val="normal0"/>
        <w:numPr>
          <w:ilvl w:val="3"/>
          <w:numId w:val="2"/>
        </w:numPr>
      </w:pPr>
      <w:r>
        <w:rPr>
          <w:rFonts w:ascii="Verdana" w:eastAsia="Verdana" w:hAnsi="Verdana" w:cs="Verdana"/>
          <w:sz w:val="20"/>
        </w:rPr>
        <w:t>The specific reason for the denial, including citation to supporting legal authority.</w:t>
      </w:r>
    </w:p>
    <w:p w:rsidR="00531D2F" w:rsidRDefault="008A6841" w:rsidP="00BA3E34">
      <w:pPr>
        <w:pStyle w:val="normal0"/>
        <w:numPr>
          <w:ilvl w:val="3"/>
          <w:numId w:val="2"/>
        </w:numPr>
      </w:pPr>
      <w:r>
        <w:rPr>
          <w:rFonts w:ascii="Verdana" w:eastAsia="Verdana" w:hAnsi="Verdana" w:cs="Verdana"/>
          <w:sz w:val="20"/>
        </w:rPr>
        <w:t>The name, title, business address, business phone number, and signature of the Open Records Officer on whose authority the denial is issued.</w:t>
      </w:r>
    </w:p>
    <w:p w:rsidR="00531D2F" w:rsidRDefault="008A6841" w:rsidP="00BA3E34">
      <w:pPr>
        <w:pStyle w:val="normal0"/>
        <w:numPr>
          <w:ilvl w:val="3"/>
          <w:numId w:val="2"/>
        </w:numPr>
      </w:pPr>
      <w:r>
        <w:rPr>
          <w:rFonts w:ascii="Verdana" w:eastAsia="Verdana" w:hAnsi="Verdana" w:cs="Verdana"/>
          <w:sz w:val="20"/>
        </w:rPr>
        <w:t>Date of response.</w:t>
      </w:r>
    </w:p>
    <w:p w:rsidR="00531D2F" w:rsidRDefault="008A6841" w:rsidP="00BA3E34">
      <w:pPr>
        <w:pStyle w:val="normal0"/>
        <w:numPr>
          <w:ilvl w:val="3"/>
          <w:numId w:val="2"/>
        </w:numPr>
      </w:pPr>
      <w:r>
        <w:rPr>
          <w:rFonts w:ascii="Verdana" w:eastAsia="Verdana" w:hAnsi="Verdana" w:cs="Verdana"/>
          <w:sz w:val="20"/>
        </w:rPr>
        <w:t>The procedure to appeal the denial.</w:t>
      </w:r>
    </w:p>
    <w:p w:rsidR="00531D2F" w:rsidRDefault="008A6841" w:rsidP="00BA3E34">
      <w:pPr>
        <w:pStyle w:val="normal0"/>
        <w:numPr>
          <w:ilvl w:val="1"/>
          <w:numId w:val="2"/>
        </w:numPr>
      </w:pPr>
      <w:r>
        <w:rPr>
          <w:rFonts w:ascii="Verdana" w:eastAsia="Verdana" w:hAnsi="Verdana" w:cs="Verdana"/>
          <w:sz w:val="20"/>
        </w:rPr>
        <w:t>The requestor can request certified copies which shall be provided with the payment of applicable fees established under §1307.§904</w:t>
      </w:r>
    </w:p>
    <w:p w:rsidR="00531D2F" w:rsidRDefault="008A6841" w:rsidP="00BA3E34">
      <w:pPr>
        <w:pStyle w:val="normal0"/>
        <w:numPr>
          <w:ilvl w:val="1"/>
          <w:numId w:val="2"/>
        </w:numPr>
      </w:pPr>
      <w:r>
        <w:rPr>
          <w:rFonts w:ascii="Verdana" w:eastAsia="Verdana" w:hAnsi="Verdana" w:cs="Verdana"/>
          <w:sz w:val="20"/>
        </w:rPr>
        <w:t xml:space="preserve">If the agency notifies the requestor that copies are available at the </w:t>
      </w:r>
      <w:r>
        <w:rPr>
          <w:rFonts w:ascii="Verdana" w:eastAsia="Verdana" w:hAnsi="Verdana" w:cs="Verdana"/>
          <w:sz w:val="20"/>
        </w:rPr>
        <w:t>agency office and the requestor fails to retrieve the records within 60 days of the response, the agency can dispose of the documents and keep the fees.</w:t>
      </w:r>
    </w:p>
    <w:p w:rsidR="00531D2F" w:rsidRDefault="008A6841" w:rsidP="00BA3E34">
      <w:pPr>
        <w:pStyle w:val="normal0"/>
        <w:numPr>
          <w:ilvl w:val="0"/>
          <w:numId w:val="2"/>
        </w:numPr>
      </w:pPr>
      <w:r>
        <w:rPr>
          <w:rFonts w:ascii="Verdana" w:eastAsia="Verdana" w:hAnsi="Verdana" w:cs="Verdana"/>
          <w:sz w:val="20"/>
        </w:rPr>
        <w:t>Office of Open Records</w:t>
      </w:r>
    </w:p>
    <w:p w:rsidR="00531D2F" w:rsidRDefault="008A6841" w:rsidP="00BA3E34">
      <w:pPr>
        <w:pStyle w:val="normal0"/>
        <w:numPr>
          <w:ilvl w:val="1"/>
          <w:numId w:val="2"/>
        </w:numPr>
      </w:pPr>
      <w:r>
        <w:rPr>
          <w:rFonts w:ascii="Verdana" w:eastAsia="Verdana" w:hAnsi="Verdana" w:cs="Verdana"/>
          <w:sz w:val="20"/>
        </w:rPr>
        <w:t>New Office within the Department of Community and Economic Development.</w:t>
      </w:r>
    </w:p>
    <w:p w:rsidR="00531D2F" w:rsidRDefault="008A6841" w:rsidP="00BA3E34">
      <w:pPr>
        <w:pStyle w:val="normal0"/>
        <w:numPr>
          <w:ilvl w:val="2"/>
          <w:numId w:val="2"/>
        </w:numPr>
      </w:pPr>
      <w:r>
        <w:rPr>
          <w:rFonts w:ascii="Verdana" w:eastAsia="Verdana" w:hAnsi="Verdana" w:cs="Verdana"/>
          <w:sz w:val="20"/>
        </w:rPr>
        <w:t>Why is i</w:t>
      </w:r>
      <w:r>
        <w:rPr>
          <w:rFonts w:ascii="Verdana" w:eastAsia="Verdana" w:hAnsi="Verdana" w:cs="Verdana"/>
          <w:sz w:val="20"/>
        </w:rPr>
        <w:t>t there? Why not?</w:t>
      </w:r>
    </w:p>
    <w:p w:rsidR="00531D2F" w:rsidRDefault="008A6841" w:rsidP="00BA3E34">
      <w:pPr>
        <w:pStyle w:val="normal0"/>
        <w:numPr>
          <w:ilvl w:val="2"/>
          <w:numId w:val="2"/>
        </w:numPr>
      </w:pPr>
      <w:r>
        <w:rPr>
          <w:rFonts w:ascii="Verdana" w:eastAsia="Verdana" w:hAnsi="Verdana" w:cs="Verdana"/>
          <w:sz w:val="20"/>
        </w:rPr>
        <w:t>Will handle all appeals from University/PASSHE decisions.</w:t>
      </w:r>
    </w:p>
    <w:p w:rsidR="00531D2F" w:rsidRDefault="008A6841" w:rsidP="00BA3E34">
      <w:pPr>
        <w:pStyle w:val="normal0"/>
        <w:numPr>
          <w:ilvl w:val="2"/>
          <w:numId w:val="2"/>
        </w:numPr>
      </w:pPr>
      <w:r>
        <w:rPr>
          <w:rFonts w:ascii="Verdana" w:eastAsia="Verdana" w:hAnsi="Verdana" w:cs="Verdana"/>
          <w:sz w:val="20"/>
        </w:rPr>
        <w:lastRenderedPageBreak/>
        <w:t>Appeals from Office of Open Records go to the Commonwealth Court.</w:t>
      </w:r>
    </w:p>
    <w:p w:rsidR="00531D2F" w:rsidRDefault="008A6841" w:rsidP="00BA3E34">
      <w:pPr>
        <w:pStyle w:val="normal0"/>
        <w:numPr>
          <w:ilvl w:val="0"/>
          <w:numId w:val="2"/>
        </w:numPr>
      </w:pPr>
      <w:r>
        <w:rPr>
          <w:rFonts w:ascii="Verdana" w:eastAsia="Verdana" w:hAnsi="Verdana" w:cs="Verdana"/>
          <w:sz w:val="20"/>
        </w:rPr>
        <w:t>Other Changes - Repeals</w:t>
      </w:r>
    </w:p>
    <w:p w:rsidR="00531D2F" w:rsidRDefault="008A6841" w:rsidP="00BA3E34">
      <w:pPr>
        <w:pStyle w:val="normal0"/>
        <w:numPr>
          <w:ilvl w:val="1"/>
          <w:numId w:val="2"/>
        </w:numPr>
      </w:pPr>
      <w:r>
        <w:rPr>
          <w:rFonts w:ascii="Verdana" w:eastAsia="Verdana" w:hAnsi="Verdana" w:cs="Verdana"/>
          <w:sz w:val="20"/>
        </w:rPr>
        <w:t xml:space="preserve">Effective January 1, 2009, the new RTK repeals §106 of the Procurement Code. This section </w:t>
      </w:r>
      <w:r>
        <w:rPr>
          <w:rFonts w:ascii="Verdana" w:eastAsia="Verdana" w:hAnsi="Verdana" w:cs="Verdana"/>
          <w:sz w:val="20"/>
        </w:rPr>
        <w:t>prohibited the disclosure of proposals submitted by unsuccessful bidders even after the contract was executed.</w:t>
      </w:r>
    </w:p>
    <w:p w:rsidR="00531D2F" w:rsidRDefault="008A6841" w:rsidP="00BA3E34">
      <w:pPr>
        <w:pStyle w:val="normal0"/>
        <w:numPr>
          <w:ilvl w:val="1"/>
          <w:numId w:val="2"/>
        </w:numPr>
      </w:pPr>
      <w:r>
        <w:rPr>
          <w:rFonts w:ascii="Verdana" w:eastAsia="Verdana" w:hAnsi="Verdana" w:cs="Verdana"/>
          <w:sz w:val="20"/>
        </w:rPr>
        <w:t>WHAT THE NEW RTK LAW DOES NOT CHANGE</w:t>
      </w:r>
    </w:p>
    <w:p w:rsidR="00531D2F" w:rsidRDefault="008A6841" w:rsidP="00BA3E34">
      <w:pPr>
        <w:pStyle w:val="normal0"/>
        <w:numPr>
          <w:ilvl w:val="2"/>
          <w:numId w:val="2"/>
        </w:numPr>
      </w:pPr>
      <w:r>
        <w:rPr>
          <w:rFonts w:ascii="Verdana" w:eastAsia="Verdana" w:hAnsi="Verdana" w:cs="Verdana"/>
          <w:sz w:val="20"/>
        </w:rPr>
        <w:t xml:space="preserve">You do not have to initially provide the </w:t>
      </w:r>
      <w:proofErr w:type="spellStart"/>
      <w:r>
        <w:rPr>
          <w:rFonts w:ascii="Verdana" w:eastAsia="Verdana" w:hAnsi="Verdana" w:cs="Verdana"/>
          <w:sz w:val="20"/>
        </w:rPr>
        <w:t>following</w:t>
      </w:r>
      <w:r>
        <w:rPr>
          <w:rFonts w:ascii="Verdana" w:eastAsia="Verdana" w:hAnsi="Verdana" w:cs="Verdana"/>
          <w:sz w:val="20"/>
          <w:u w:val="single"/>
        </w:rPr>
        <w:t>prior</w:t>
      </w:r>
      <w:proofErr w:type="spellEnd"/>
      <w:r>
        <w:rPr>
          <w:rFonts w:ascii="Verdana" w:eastAsia="Verdana" w:hAnsi="Verdana" w:cs="Verdana"/>
          <w:sz w:val="20"/>
          <w:u w:val="single"/>
        </w:rPr>
        <w:t xml:space="preserve"> to</w:t>
      </w:r>
      <w:r>
        <w:rPr>
          <w:rFonts w:ascii="Verdana" w:eastAsia="Verdana" w:hAnsi="Verdana" w:cs="Verdana"/>
          <w:sz w:val="20"/>
        </w:rPr>
        <w:t xml:space="preserve"> a contract award:</w:t>
      </w:r>
    </w:p>
    <w:p w:rsidR="00531D2F" w:rsidRDefault="008A6841" w:rsidP="00BA3E34">
      <w:pPr>
        <w:pStyle w:val="normal0"/>
        <w:numPr>
          <w:ilvl w:val="3"/>
          <w:numId w:val="2"/>
        </w:numPr>
      </w:pPr>
      <w:r>
        <w:rPr>
          <w:rFonts w:ascii="Verdana" w:eastAsia="Verdana" w:hAnsi="Verdana" w:cs="Verdana"/>
          <w:sz w:val="20"/>
        </w:rPr>
        <w:t>A proposal pertaining to agency</w:t>
      </w:r>
      <w:r>
        <w:rPr>
          <w:rFonts w:ascii="Verdana" w:eastAsia="Verdana" w:hAnsi="Verdana" w:cs="Verdana"/>
          <w:sz w:val="20"/>
        </w:rPr>
        <w:t xml:space="preserve"> procurement or disposal of supplies, services or construction prior to the award of the contract or prior to the opening and rejection of all bids; financial information of a bidder or </w:t>
      </w:r>
      <w:proofErr w:type="spellStart"/>
      <w:r>
        <w:rPr>
          <w:rFonts w:ascii="Verdana" w:eastAsia="Verdana" w:hAnsi="Verdana" w:cs="Verdana"/>
          <w:sz w:val="20"/>
        </w:rPr>
        <w:t>offeror</w:t>
      </w:r>
      <w:proofErr w:type="spellEnd"/>
      <w:r>
        <w:rPr>
          <w:rFonts w:ascii="Verdana" w:eastAsia="Verdana" w:hAnsi="Verdana" w:cs="Verdana"/>
          <w:sz w:val="20"/>
        </w:rPr>
        <w:t xml:space="preserve"> requested in an invitation for bid or request for proposals to</w:t>
      </w:r>
      <w:r>
        <w:rPr>
          <w:rFonts w:ascii="Verdana" w:eastAsia="Verdana" w:hAnsi="Verdana" w:cs="Verdana"/>
          <w:sz w:val="20"/>
        </w:rPr>
        <w:t>,</w:t>
      </w:r>
    </w:p>
    <w:p w:rsidR="00531D2F" w:rsidRDefault="008A6841" w:rsidP="00BA3E34">
      <w:pPr>
        <w:pStyle w:val="normal0"/>
        <w:numPr>
          <w:ilvl w:val="3"/>
          <w:numId w:val="2"/>
        </w:numPr>
      </w:pPr>
      <w:r>
        <w:rPr>
          <w:rFonts w:ascii="Verdana" w:eastAsia="Verdana" w:hAnsi="Verdana" w:cs="Verdana"/>
          <w:sz w:val="20"/>
        </w:rPr>
        <w:t xml:space="preserve">Demonstrate the bidder's or </w:t>
      </w:r>
      <w:proofErr w:type="spellStart"/>
      <w:r>
        <w:rPr>
          <w:rFonts w:ascii="Verdana" w:eastAsia="Verdana" w:hAnsi="Verdana" w:cs="Verdana"/>
          <w:sz w:val="20"/>
        </w:rPr>
        <w:t>offeror's</w:t>
      </w:r>
      <w:proofErr w:type="spellEnd"/>
      <w:r>
        <w:rPr>
          <w:rFonts w:ascii="Verdana" w:eastAsia="Verdana" w:hAnsi="Verdana" w:cs="Verdana"/>
          <w:sz w:val="20"/>
        </w:rPr>
        <w:t xml:space="preserve"> economic capability; or the identity of members, notes and other records of agency proposal evaluation committees established under 62 </w:t>
      </w:r>
      <w:proofErr w:type="spellStart"/>
      <w:r>
        <w:rPr>
          <w:rFonts w:ascii="Verdana" w:eastAsia="Verdana" w:hAnsi="Verdana" w:cs="Verdana"/>
          <w:sz w:val="20"/>
        </w:rPr>
        <w:t>Pa.C.S</w:t>
      </w:r>
      <w:proofErr w:type="spellEnd"/>
      <w:r>
        <w:rPr>
          <w:rFonts w:ascii="Verdana" w:eastAsia="Verdana" w:hAnsi="Verdana" w:cs="Verdana"/>
          <w:sz w:val="20"/>
        </w:rPr>
        <w:t xml:space="preserve"> §513 (relating to competitive sealed proposals). §708(b</w:t>
      </w:r>
      <w:proofErr w:type="gramStart"/>
      <w:r>
        <w:rPr>
          <w:rFonts w:ascii="Verdana" w:eastAsia="Verdana" w:hAnsi="Verdana" w:cs="Verdana"/>
          <w:sz w:val="20"/>
        </w:rPr>
        <w:t>)(</w:t>
      </w:r>
      <w:proofErr w:type="gramEnd"/>
      <w:r>
        <w:rPr>
          <w:rFonts w:ascii="Verdana" w:eastAsia="Verdana" w:hAnsi="Verdana" w:cs="Verdana"/>
          <w:sz w:val="20"/>
        </w:rPr>
        <w:t>26).</w:t>
      </w:r>
    </w:p>
    <w:p w:rsidR="00531D2F" w:rsidRDefault="008A6841" w:rsidP="00BA3E34">
      <w:pPr>
        <w:pStyle w:val="normal0"/>
        <w:numPr>
          <w:ilvl w:val="1"/>
          <w:numId w:val="2"/>
        </w:numPr>
      </w:pPr>
      <w:r>
        <w:rPr>
          <w:rFonts w:ascii="Verdana" w:eastAsia="Verdana" w:hAnsi="Verdana" w:cs="Verdana"/>
          <w:sz w:val="20"/>
        </w:rPr>
        <w:t>Major Change</w:t>
      </w:r>
      <w:r>
        <w:rPr>
          <w:rFonts w:ascii="Verdana" w:eastAsia="Verdana" w:hAnsi="Verdana" w:cs="Verdana"/>
          <w:sz w:val="20"/>
        </w:rPr>
        <w:t xml:space="preserve"> Regarding RTK Requests After the Contract is Awarded</w:t>
      </w:r>
    </w:p>
    <w:p w:rsidR="00531D2F" w:rsidRDefault="008A6841" w:rsidP="00BA3E34">
      <w:pPr>
        <w:pStyle w:val="normal0"/>
        <w:numPr>
          <w:ilvl w:val="2"/>
          <w:numId w:val="2"/>
        </w:numPr>
      </w:pPr>
      <w:proofErr w:type="gramStart"/>
      <w:r>
        <w:rPr>
          <w:rFonts w:ascii="Verdana" w:eastAsia="Verdana" w:hAnsi="Verdana" w:cs="Verdana"/>
          <w:sz w:val="20"/>
          <w:u w:val="single"/>
        </w:rPr>
        <w:t>62 PA.C.S.</w:t>
      </w:r>
      <w:proofErr w:type="gramEnd"/>
      <w:r>
        <w:rPr>
          <w:rFonts w:ascii="Verdana" w:eastAsia="Verdana" w:hAnsi="Verdana" w:cs="Verdana"/>
          <w:sz w:val="20"/>
          <w:u w:val="single"/>
        </w:rPr>
        <w:t xml:space="preserve"> §106(b</w:t>
      </w:r>
      <w:proofErr w:type="gramStart"/>
      <w:r>
        <w:rPr>
          <w:rFonts w:ascii="Verdana" w:eastAsia="Verdana" w:hAnsi="Verdana" w:cs="Verdana"/>
          <w:sz w:val="20"/>
          <w:u w:val="single"/>
        </w:rPr>
        <w:t>)(</w:t>
      </w:r>
      <w:proofErr w:type="gramEnd"/>
      <w:r>
        <w:rPr>
          <w:rFonts w:ascii="Verdana" w:eastAsia="Verdana" w:hAnsi="Verdana" w:cs="Verdana"/>
          <w:sz w:val="20"/>
          <w:u w:val="single"/>
        </w:rPr>
        <w:t>relating to confidentiality of unsuccessful proposals) is to make all proposals-successful and unsuccessful-public records at the time a contract is awarded.</w:t>
      </w:r>
    </w:p>
    <w:p w:rsidR="00531D2F" w:rsidRDefault="008A6841" w:rsidP="00BA3E34">
      <w:pPr>
        <w:pStyle w:val="normal0"/>
        <w:numPr>
          <w:ilvl w:val="2"/>
          <w:numId w:val="2"/>
        </w:numPr>
      </w:pPr>
      <w:r>
        <w:rPr>
          <w:rFonts w:ascii="Verdana" w:eastAsia="Verdana" w:hAnsi="Verdana" w:cs="Verdana"/>
          <w:sz w:val="20"/>
        </w:rPr>
        <w:t>Currently, unsuccessful p</w:t>
      </w:r>
      <w:r>
        <w:rPr>
          <w:rFonts w:ascii="Verdana" w:eastAsia="Verdana" w:hAnsi="Verdana" w:cs="Verdana"/>
          <w:sz w:val="20"/>
        </w:rPr>
        <w:t xml:space="preserve">roposals are never released and the winning proposal is not </w:t>
      </w:r>
      <w:proofErr w:type="spellStart"/>
      <w:r>
        <w:rPr>
          <w:rFonts w:ascii="Verdana" w:eastAsia="Verdana" w:hAnsi="Verdana" w:cs="Verdana"/>
          <w:sz w:val="20"/>
        </w:rPr>
        <w:t>released</w:t>
      </w:r>
      <w:r>
        <w:rPr>
          <w:rFonts w:ascii="Verdana" w:eastAsia="Verdana" w:hAnsi="Verdana" w:cs="Verdana"/>
          <w:sz w:val="20"/>
          <w:u w:val="single"/>
        </w:rPr>
        <w:t>until</w:t>
      </w:r>
      <w:proofErr w:type="spellEnd"/>
      <w:r>
        <w:rPr>
          <w:rFonts w:ascii="Verdana" w:eastAsia="Verdana" w:hAnsi="Verdana" w:cs="Verdana"/>
          <w:sz w:val="20"/>
          <w:u w:val="single"/>
        </w:rPr>
        <w:t xml:space="preserve"> the contract is executed</w:t>
      </w:r>
      <w:r>
        <w:rPr>
          <w:rFonts w:ascii="Verdana" w:eastAsia="Verdana" w:hAnsi="Verdana" w:cs="Verdana"/>
          <w:sz w:val="20"/>
        </w:rPr>
        <w:t xml:space="preserve">. There will no doubt be pressure to release all proposals promptly </w:t>
      </w:r>
      <w:r>
        <w:rPr>
          <w:rFonts w:ascii="Verdana" w:eastAsia="Verdana" w:hAnsi="Verdana" w:cs="Verdana"/>
          <w:sz w:val="20"/>
          <w:u w:val="single"/>
        </w:rPr>
        <w:t>after award of contract so as to permit review of the proposals by a prospective bid prote</w:t>
      </w:r>
      <w:r>
        <w:rPr>
          <w:rFonts w:ascii="Verdana" w:eastAsia="Verdana" w:hAnsi="Verdana" w:cs="Verdana"/>
          <w:sz w:val="20"/>
          <w:u w:val="single"/>
        </w:rPr>
        <w:t>ster within the seven day time period permitted for filing</w:t>
      </w:r>
      <w:r>
        <w:rPr>
          <w:rFonts w:ascii="Verdana" w:eastAsia="Verdana" w:hAnsi="Verdana" w:cs="Verdana"/>
          <w:sz w:val="20"/>
        </w:rPr>
        <w:t>. States with similar open records provisions frequently add notice provisions to their solicitations and contracts advising prospective bidders and proposers of the ramifications of the RTKL.</w:t>
      </w:r>
    </w:p>
    <w:p w:rsidR="00531D2F" w:rsidRDefault="008A6841" w:rsidP="00BA3E34">
      <w:pPr>
        <w:pStyle w:val="normal0"/>
        <w:numPr>
          <w:ilvl w:val="2"/>
          <w:numId w:val="2"/>
        </w:numPr>
      </w:pPr>
      <w:r>
        <w:rPr>
          <w:rFonts w:ascii="Verdana" w:eastAsia="Verdana" w:hAnsi="Verdana" w:cs="Verdana"/>
          <w:sz w:val="20"/>
          <w:u w:val="single"/>
        </w:rPr>
        <w:t>Until</w:t>
      </w:r>
      <w:r>
        <w:rPr>
          <w:rFonts w:ascii="Verdana" w:eastAsia="Verdana" w:hAnsi="Verdana" w:cs="Verdana"/>
          <w:sz w:val="20"/>
          <w:u w:val="single"/>
        </w:rPr>
        <w:t xml:space="preserve"> January 1, 2009 we maintain the status quo regarding bid proposals</w:t>
      </w:r>
      <w:r>
        <w:rPr>
          <w:rFonts w:ascii="Verdana" w:eastAsia="Verdana" w:hAnsi="Verdana" w:cs="Verdana"/>
          <w:sz w:val="20"/>
        </w:rPr>
        <w:t>.</w:t>
      </w:r>
    </w:p>
    <w:p w:rsidR="00531D2F" w:rsidRDefault="008A6841" w:rsidP="00BA3E34">
      <w:pPr>
        <w:pStyle w:val="normal0"/>
        <w:numPr>
          <w:ilvl w:val="0"/>
          <w:numId w:val="2"/>
        </w:numPr>
      </w:pPr>
      <w:r>
        <w:rPr>
          <w:rFonts w:ascii="Verdana" w:eastAsia="Verdana" w:hAnsi="Verdana" w:cs="Verdana"/>
          <w:sz w:val="20"/>
        </w:rPr>
        <w:t>What Has Not Changed</w:t>
      </w:r>
    </w:p>
    <w:p w:rsidR="00531D2F" w:rsidRDefault="008A6841" w:rsidP="00BA3E34">
      <w:pPr>
        <w:pStyle w:val="normal0"/>
        <w:numPr>
          <w:ilvl w:val="1"/>
          <w:numId w:val="2"/>
        </w:numPr>
      </w:pPr>
      <w:r>
        <w:rPr>
          <w:rFonts w:ascii="Verdana" w:eastAsia="Verdana" w:hAnsi="Verdana" w:cs="Verdana"/>
          <w:sz w:val="20"/>
        </w:rPr>
        <w:t xml:space="preserve">The university is under </w:t>
      </w:r>
      <w:proofErr w:type="spellStart"/>
      <w:r>
        <w:rPr>
          <w:rFonts w:ascii="Verdana" w:eastAsia="Verdana" w:hAnsi="Verdana" w:cs="Verdana"/>
          <w:sz w:val="20"/>
        </w:rPr>
        <w:t>not</w:t>
      </w:r>
      <w:proofErr w:type="spellEnd"/>
      <w:r>
        <w:rPr>
          <w:rFonts w:ascii="Verdana" w:eastAsia="Verdana" w:hAnsi="Verdana" w:cs="Verdana"/>
          <w:sz w:val="20"/>
        </w:rPr>
        <w:t xml:space="preserve"> obligation to create a record that does not exist or to compile, maintain, format, or organize a record in a manner in which the agency do</w:t>
      </w:r>
      <w:r>
        <w:rPr>
          <w:rFonts w:ascii="Verdana" w:eastAsia="Verdana" w:hAnsi="Verdana" w:cs="Verdana"/>
          <w:sz w:val="20"/>
        </w:rPr>
        <w:t>es not currently compile, maintain, format or organize the record.</w:t>
      </w:r>
    </w:p>
    <w:p w:rsidR="00531D2F" w:rsidRDefault="008A6841" w:rsidP="00BA3E34">
      <w:pPr>
        <w:pStyle w:val="normal0"/>
        <w:numPr>
          <w:ilvl w:val="1"/>
          <w:numId w:val="2"/>
        </w:numPr>
      </w:pPr>
      <w:r>
        <w:rPr>
          <w:rFonts w:ascii="Verdana" w:eastAsia="Verdana" w:hAnsi="Verdana" w:cs="Verdana"/>
          <w:sz w:val="20"/>
        </w:rPr>
        <w:t>You can still charge for the cost of copying. The OOR is to be providing a list of acceptable charges for copying, for disk costs, etc. As soon as we have the information, it will be passed</w:t>
      </w:r>
      <w:r>
        <w:rPr>
          <w:rFonts w:ascii="Verdana" w:eastAsia="Verdana" w:hAnsi="Verdana" w:cs="Verdana"/>
          <w:sz w:val="20"/>
        </w:rPr>
        <w:t xml:space="preserve"> on.</w:t>
      </w:r>
    </w:p>
    <w:p w:rsidR="00531D2F" w:rsidRDefault="00531D2F">
      <w:pPr>
        <w:pStyle w:val="normal0"/>
        <w:spacing w:after="200" w:line="240" w:lineRule="auto"/>
      </w:pPr>
    </w:p>
    <w:sectPr w:rsidR="00531D2F" w:rsidSect="00531D2F">
      <w:headerReference w:type="default" r:id="rId7"/>
      <w:footerReference w:type="default" r:id="rId8"/>
      <w:pgSz w:w="12240" w:h="15840"/>
      <w:pgMar w:top="776" w:right="144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841" w:rsidRDefault="008A6841" w:rsidP="00531D2F">
      <w:pPr>
        <w:spacing w:after="0" w:line="240" w:lineRule="auto"/>
      </w:pPr>
      <w:r>
        <w:separator/>
      </w:r>
    </w:p>
  </w:endnote>
  <w:endnote w:type="continuationSeparator" w:id="0">
    <w:p w:rsidR="008A6841" w:rsidRDefault="008A6841" w:rsidP="00531D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2F" w:rsidRDefault="00531D2F">
    <w:pPr>
      <w:pStyle w:val="normal0"/>
      <w:spacing w:after="20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841" w:rsidRDefault="008A6841" w:rsidP="00531D2F">
      <w:pPr>
        <w:spacing w:after="0" w:line="240" w:lineRule="auto"/>
      </w:pPr>
      <w:r>
        <w:separator/>
      </w:r>
    </w:p>
  </w:footnote>
  <w:footnote w:type="continuationSeparator" w:id="0">
    <w:p w:rsidR="008A6841" w:rsidRDefault="008A6841" w:rsidP="00531D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D2F" w:rsidRDefault="008A6841">
    <w:pPr>
      <w:pStyle w:val="normal0"/>
      <w:tabs>
        <w:tab w:val="center" w:pos="4680"/>
        <w:tab w:val="right" w:pos="9360"/>
      </w:tabs>
      <w:spacing w:line="240" w:lineRule="auto"/>
    </w:pPr>
    <w:r>
      <w:rPr>
        <w:rFonts w:ascii="Verdana" w:eastAsia="Verdana" w:hAnsi="Verdana" w:cs="Verdana"/>
        <w:sz w:val="20"/>
      </w:rPr>
      <w:t>Right-to-Know Policy</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Verdana" w:eastAsia="Verdana" w:hAnsi="Verdana" w:cs="Verdana"/>
        <w:sz w:val="20"/>
      </w:rPr>
      <w:t xml:space="preserve">Page </w:t>
    </w:r>
    <w:fldSimple w:instr="PAGE">
      <w:r w:rsidR="00BA3E34">
        <w:rPr>
          <w:noProof/>
        </w:rPr>
        <w:t>1</w:t>
      </w:r>
    </w:fldSimple>
  </w:p>
  <w:p w:rsidR="00531D2F" w:rsidRDefault="00531D2F">
    <w:pPr>
      <w:pStyle w:val="normal0"/>
      <w:tabs>
        <w:tab w:val="center" w:pos="4680"/>
        <w:tab w:val="right" w:pos="9360"/>
      </w:tabs>
      <w:spacing w:line="240" w:lineRule="auto"/>
    </w:pPr>
  </w:p>
  <w:p w:rsidR="00531D2F" w:rsidRDefault="00531D2F">
    <w:pPr>
      <w:pStyle w:val="normal0"/>
      <w:tabs>
        <w:tab w:val="left" w:pos="9270"/>
      </w:tabs>
      <w:spacing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0633A"/>
    <w:multiLevelType w:val="multilevel"/>
    <w:tmpl w:val="B4B63410"/>
    <w:lvl w:ilvl="0">
      <w:start w:val="1"/>
      <w:numFmt w:val="decimal"/>
      <w:lvlText w:val="%1"/>
      <w:lvlJc w:val="left"/>
      <w:pPr>
        <w:ind w:left="720" w:firstLine="360"/>
      </w:pPr>
      <w:rPr>
        <w:rFonts w:ascii="Verdana" w:eastAsia="Verdana" w:hAnsi="Verdana" w:cs="Verdana"/>
        <w:b w:val="0"/>
        <w:i w:val="0"/>
        <w:smallCaps w:val="0"/>
        <w:strike w:val="0"/>
        <w:color w:val="000000"/>
        <w:sz w:val="20"/>
        <w:u w:val="none"/>
        <w:vertAlign w:val="baseline"/>
      </w:rPr>
    </w:lvl>
    <w:lvl w:ilvl="1">
      <w:start w:val="1"/>
      <w:numFmt w:val="lowerLetter"/>
      <w:lvlText w:val="%2"/>
      <w:lvlJc w:val="left"/>
      <w:pPr>
        <w:ind w:left="1440" w:firstLine="1080"/>
      </w:pPr>
      <w:rPr>
        <w:rFonts w:ascii="Verdana" w:eastAsia="Verdana" w:hAnsi="Verdana" w:cs="Verdana"/>
        <w:b w:val="0"/>
        <w:i w:val="0"/>
        <w:smallCaps w:val="0"/>
        <w:strike w:val="0"/>
        <w:color w:val="000000"/>
        <w:sz w:val="20"/>
        <w:u w:val="none"/>
        <w:vertAlign w:val="baseline"/>
      </w:rPr>
    </w:lvl>
    <w:lvl w:ilvl="2">
      <w:start w:val="1"/>
      <w:numFmt w:val="lowerRoman"/>
      <w:lvlText w:val="%3"/>
      <w:lvlJc w:val="left"/>
      <w:pPr>
        <w:ind w:left="2160" w:firstLine="1800"/>
      </w:pPr>
      <w:rPr>
        <w:rFonts w:ascii="Verdana" w:eastAsia="Verdana" w:hAnsi="Verdana" w:cs="Verdana"/>
        <w:b w:val="0"/>
        <w:i w:val="0"/>
        <w:smallCaps w:val="0"/>
        <w:strike w:val="0"/>
        <w:color w:val="000000"/>
        <w:sz w:val="20"/>
        <w:u w:val="none"/>
        <w:vertAlign w:val="baseline"/>
      </w:rPr>
    </w:lvl>
    <w:lvl w:ilvl="3">
      <w:start w:val="1"/>
      <w:numFmt w:val="bullet"/>
      <w:lvlText w:val="●"/>
      <w:lvlJc w:val="left"/>
      <w:pPr>
        <w:ind w:left="2880" w:firstLine="2520"/>
      </w:pPr>
      <w:rPr>
        <w:rFonts w:ascii="Verdana" w:eastAsia="Verdana" w:hAnsi="Verdana" w:cs="Verdana"/>
        <w:b w:val="0"/>
        <w:i w:val="0"/>
        <w:smallCaps w:val="0"/>
        <w:strike w:val="0"/>
        <w:color w:val="000000"/>
        <w:sz w:val="20"/>
        <w:u w:val="none"/>
        <w:vertAlign w:val="baseline"/>
      </w:rPr>
    </w:lvl>
    <w:lvl w:ilvl="4">
      <w:start w:val="1"/>
      <w:numFmt w:val="lowerLetter"/>
      <w:lvlText w:val="%5"/>
      <w:lvlJc w:val="left"/>
      <w:pPr>
        <w:ind w:left="3600" w:firstLine="3240"/>
      </w:pPr>
      <w:rPr>
        <w:rFonts w:ascii="Verdana" w:eastAsia="Verdana" w:hAnsi="Verdana" w:cs="Verdana"/>
        <w:b w:val="0"/>
        <w:i w:val="0"/>
        <w:smallCaps w:val="0"/>
        <w:strike w:val="0"/>
        <w:color w:val="000000"/>
        <w:sz w:val="20"/>
        <w:u w:val="none"/>
        <w:vertAlign w:val="baseline"/>
      </w:rPr>
    </w:lvl>
    <w:lvl w:ilvl="5">
      <w:start w:val="1"/>
      <w:numFmt w:val="lowerRoman"/>
      <w:lvlText w:val="%6"/>
      <w:lvlJc w:val="left"/>
      <w:pPr>
        <w:ind w:left="4320" w:firstLine="3960"/>
      </w:pPr>
      <w:rPr>
        <w:rFonts w:ascii="Verdana" w:eastAsia="Verdana" w:hAnsi="Verdana" w:cs="Verdana"/>
        <w:b w:val="0"/>
        <w:i w:val="0"/>
        <w:smallCaps w:val="0"/>
        <w:strike w:val="0"/>
        <w:color w:val="000000"/>
        <w:sz w:val="20"/>
        <w:u w:val="none"/>
        <w:vertAlign w:val="baseline"/>
      </w:rPr>
    </w:lvl>
    <w:lvl w:ilvl="6">
      <w:start w:val="1"/>
      <w:numFmt w:val="decimal"/>
      <w:lvlText w:val="%7"/>
      <w:lvlJc w:val="left"/>
      <w:pPr>
        <w:ind w:left="5040" w:firstLine="4680"/>
      </w:pPr>
      <w:rPr>
        <w:rFonts w:ascii="Verdana" w:eastAsia="Verdana" w:hAnsi="Verdana" w:cs="Verdana"/>
        <w:b w:val="0"/>
        <w:i w:val="0"/>
        <w:smallCaps w:val="0"/>
        <w:strike w:val="0"/>
        <w:color w:val="000000"/>
        <w:sz w:val="20"/>
        <w:u w:val="none"/>
        <w:vertAlign w:val="baseline"/>
      </w:rPr>
    </w:lvl>
    <w:lvl w:ilvl="7">
      <w:start w:val="1"/>
      <w:numFmt w:val="lowerLetter"/>
      <w:lvlText w:val="%8"/>
      <w:lvlJc w:val="left"/>
      <w:pPr>
        <w:ind w:left="5760" w:firstLine="5400"/>
      </w:pPr>
      <w:rPr>
        <w:rFonts w:ascii="Verdana" w:eastAsia="Verdana" w:hAnsi="Verdana" w:cs="Verdana"/>
        <w:b w:val="0"/>
        <w:i w:val="0"/>
        <w:smallCaps w:val="0"/>
        <w:strike w:val="0"/>
        <w:color w:val="000000"/>
        <w:sz w:val="20"/>
        <w:u w:val="none"/>
        <w:vertAlign w:val="baseline"/>
      </w:rPr>
    </w:lvl>
    <w:lvl w:ilvl="8">
      <w:start w:val="1"/>
      <w:numFmt w:val="lowerRoman"/>
      <w:lvlText w:val="%9"/>
      <w:lvlJc w:val="left"/>
      <w:pPr>
        <w:ind w:left="6480" w:firstLine="6120"/>
      </w:pPr>
      <w:rPr>
        <w:rFonts w:ascii="Verdana" w:eastAsia="Verdana" w:hAnsi="Verdana" w:cs="Verdana"/>
        <w:b w:val="0"/>
        <w:i w:val="0"/>
        <w:smallCaps w:val="0"/>
        <w:strike w:val="0"/>
        <w:color w:val="000000"/>
        <w:sz w:val="20"/>
        <w:u w:val="none"/>
        <w:vertAlign w:val="baseline"/>
      </w:rPr>
    </w:lvl>
  </w:abstractNum>
  <w:abstractNum w:abstractNumId="1">
    <w:nsid w:val="422246C1"/>
    <w:multiLevelType w:val="hybridMultilevel"/>
    <w:tmpl w:val="1BE68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531D2F"/>
    <w:rsid w:val="00531D2F"/>
    <w:rsid w:val="008A6841"/>
    <w:rsid w:val="00BA3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531D2F"/>
    <w:pPr>
      <w:spacing w:before="480" w:line="240" w:lineRule="auto"/>
      <w:outlineLvl w:val="0"/>
    </w:pPr>
    <w:rPr>
      <w:rFonts w:ascii="Cambria" w:eastAsia="Cambria" w:hAnsi="Cambria" w:cs="Cambria"/>
      <w:b/>
      <w:color w:val="365F91"/>
      <w:sz w:val="28"/>
    </w:rPr>
  </w:style>
  <w:style w:type="paragraph" w:styleId="Heading2">
    <w:name w:val="heading 2"/>
    <w:basedOn w:val="normal0"/>
    <w:next w:val="normal0"/>
    <w:rsid w:val="00531D2F"/>
    <w:pPr>
      <w:spacing w:before="200" w:line="240" w:lineRule="auto"/>
      <w:ind w:left="720"/>
      <w:outlineLvl w:val="1"/>
    </w:pPr>
    <w:rPr>
      <w:rFonts w:ascii="Cambria" w:eastAsia="Cambria" w:hAnsi="Cambria" w:cs="Cambria"/>
      <w:b/>
      <w:color w:val="4F81BD"/>
      <w:sz w:val="26"/>
    </w:rPr>
  </w:style>
  <w:style w:type="paragraph" w:styleId="Heading3">
    <w:name w:val="heading 3"/>
    <w:basedOn w:val="normal0"/>
    <w:next w:val="normal0"/>
    <w:rsid w:val="00531D2F"/>
    <w:pPr>
      <w:spacing w:before="200" w:line="240" w:lineRule="auto"/>
      <w:ind w:left="1440"/>
      <w:outlineLvl w:val="2"/>
    </w:pPr>
    <w:rPr>
      <w:rFonts w:ascii="Cambria" w:eastAsia="Cambria" w:hAnsi="Cambria" w:cs="Cambria"/>
      <w:b/>
      <w:color w:val="4F81BD"/>
    </w:rPr>
  </w:style>
  <w:style w:type="paragraph" w:styleId="Heading4">
    <w:name w:val="heading 4"/>
    <w:basedOn w:val="normal0"/>
    <w:next w:val="normal0"/>
    <w:rsid w:val="00531D2F"/>
    <w:pPr>
      <w:spacing w:before="200" w:line="240" w:lineRule="auto"/>
      <w:ind w:left="2160"/>
      <w:outlineLvl w:val="3"/>
    </w:pPr>
    <w:rPr>
      <w:rFonts w:ascii="Cambria" w:eastAsia="Cambria" w:hAnsi="Cambria" w:cs="Cambria"/>
      <w:b/>
      <w:i/>
      <w:color w:val="4F81BD"/>
    </w:rPr>
  </w:style>
  <w:style w:type="paragraph" w:styleId="Heading5">
    <w:name w:val="heading 5"/>
    <w:basedOn w:val="normal0"/>
    <w:next w:val="normal0"/>
    <w:rsid w:val="00531D2F"/>
    <w:pPr>
      <w:spacing w:before="200" w:line="240" w:lineRule="auto"/>
      <w:ind w:left="2880"/>
      <w:outlineLvl w:val="4"/>
    </w:pPr>
    <w:rPr>
      <w:rFonts w:ascii="Cambria" w:eastAsia="Cambria" w:hAnsi="Cambria" w:cs="Cambria"/>
      <w:color w:val="243F60"/>
    </w:rPr>
  </w:style>
  <w:style w:type="paragraph" w:styleId="Heading6">
    <w:name w:val="heading 6"/>
    <w:basedOn w:val="normal0"/>
    <w:next w:val="normal0"/>
    <w:rsid w:val="00531D2F"/>
    <w:pPr>
      <w:spacing w:before="200" w:line="240" w:lineRule="auto"/>
      <w:ind w:left="3600"/>
      <w:outlineLvl w:val="5"/>
    </w:pPr>
    <w:rPr>
      <w:rFonts w:ascii="Cambria" w:eastAsia="Cambria" w:hAnsi="Cambria" w:cs="Cambria"/>
      <w: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31D2F"/>
    <w:pPr>
      <w:spacing w:after="0"/>
    </w:pPr>
    <w:rPr>
      <w:rFonts w:ascii="Arial" w:eastAsia="Arial" w:hAnsi="Arial" w:cs="Arial"/>
      <w:color w:val="000000"/>
    </w:rPr>
  </w:style>
  <w:style w:type="paragraph" w:styleId="Title">
    <w:name w:val="Title"/>
    <w:basedOn w:val="normal0"/>
    <w:next w:val="normal0"/>
    <w:rsid w:val="00531D2F"/>
    <w:pPr>
      <w:spacing w:before="480" w:after="120"/>
    </w:pPr>
    <w:rPr>
      <w:b/>
      <w:sz w:val="72"/>
    </w:rPr>
  </w:style>
  <w:style w:type="paragraph" w:styleId="Subtitle">
    <w:name w:val="Subtitle"/>
    <w:basedOn w:val="normal0"/>
    <w:next w:val="normal0"/>
    <w:rsid w:val="00531D2F"/>
    <w:pPr>
      <w:spacing w:before="360" w:after="80"/>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BA3E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E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A8D8463E72D4D91F939ACC29F9162" ma:contentTypeVersion="2" ma:contentTypeDescription="Create a new document." ma:contentTypeScope="" ma:versionID="c71e5ac6cd6b66dad4fe423c4ac502aa">
  <xsd:schema xmlns:xsd="http://www.w3.org/2001/XMLSchema" xmlns:p="http://schemas.microsoft.com/office/2006/metadata/properties" xmlns:ns1="http://schemas.microsoft.com/sharepoint/v3" targetNamespace="http://schemas.microsoft.com/office/2006/metadata/properties" ma:root="true" ma:fieldsID="3d6899da65ec97ea3a3b11f395c874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043418-7C9C-461F-8683-070800CCED10}"/>
</file>

<file path=customXml/itemProps2.xml><?xml version="1.0" encoding="utf-8"?>
<ds:datastoreItem xmlns:ds="http://schemas.openxmlformats.org/officeDocument/2006/customXml" ds:itemID="{68633F53-895B-4EED-B13E-0FA13F1A3FEA}"/>
</file>

<file path=customXml/itemProps3.xml><?xml version="1.0" encoding="utf-8"?>
<ds:datastoreItem xmlns:ds="http://schemas.openxmlformats.org/officeDocument/2006/customXml" ds:itemID="{7DB8AC24-5407-42B8-8154-8D0D07EC7B45}"/>
</file>

<file path=docProps/app.xml><?xml version="1.0" encoding="utf-8"?>
<Properties xmlns="http://schemas.openxmlformats.org/officeDocument/2006/extended-properties" xmlns:vt="http://schemas.openxmlformats.org/officeDocument/2006/docPropsVTypes">
  <Template>Normal.dotm</Template>
  <TotalTime>5</TotalTime>
  <Pages>4</Pages>
  <Words>1273</Words>
  <Characters>7262</Characters>
  <Application>Microsoft Office Word</Application>
  <DocSecurity>0</DocSecurity>
  <Lines>60</Lines>
  <Paragraphs>17</Paragraphs>
  <ScaleCrop>false</ScaleCrop>
  <Company> </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Right-to-know Update.docx</dc:title>
  <cp:lastModifiedBy>profile</cp:lastModifiedBy>
  <cp:revision>2</cp:revision>
  <dcterms:created xsi:type="dcterms:W3CDTF">2013-04-03T17:39:00Z</dcterms:created>
  <dcterms:modified xsi:type="dcterms:W3CDTF">2013-04-03T17:45:00Z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0x010100721A8D8463E72D4D91F939ACC29F9162</vt:lpwstr>
  </property>
</Properties>
</file>